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AFFF8" w14:textId="2DE85F60"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w:t>
      </w:r>
      <w:r w:rsidR="00B516D6">
        <w:rPr>
          <w:rFonts w:ascii="Arial" w:hAnsi="Arial" w:cs="Arial"/>
          <w:b/>
          <w:bCs/>
          <w:sz w:val="24"/>
          <w:szCs w:val="24"/>
        </w:rPr>
        <w:t>16</w:t>
      </w:r>
      <w:r w:rsidR="00B516D6">
        <w:rPr>
          <w:rFonts w:ascii="Arial" w:hAnsi="Arial" w:cs="Arial" w:hint="eastAsia"/>
          <w:b/>
          <w:bCs/>
          <w:sz w:val="24"/>
          <w:szCs w:val="24"/>
          <w:lang w:eastAsia="ko-KR"/>
        </w:rPr>
        <w:t>2</w:t>
      </w:r>
      <w:r>
        <w:rPr>
          <w:rFonts w:ascii="Arial" w:hAnsi="Arial" w:cs="Arial"/>
          <w:b/>
          <w:bCs/>
          <w:sz w:val="24"/>
          <w:szCs w:val="24"/>
        </w:rPr>
        <w:tab/>
      </w:r>
      <w:r w:rsidR="007E5CE3" w:rsidRPr="007E5CE3">
        <w:rPr>
          <w:rFonts w:ascii="Arial" w:hAnsi="Arial" w:cs="Arial"/>
          <w:b/>
          <w:bCs/>
          <w:sz w:val="24"/>
          <w:szCs w:val="24"/>
        </w:rPr>
        <w:t>S2-2</w:t>
      </w:r>
      <w:r w:rsidR="00BA4863">
        <w:rPr>
          <w:rFonts w:ascii="Arial" w:hAnsi="Arial" w:cs="Arial"/>
          <w:b/>
          <w:bCs/>
          <w:sz w:val="24"/>
          <w:szCs w:val="24"/>
        </w:rPr>
        <w:t>4</w:t>
      </w:r>
      <w:r w:rsidR="000414E7">
        <w:rPr>
          <w:rFonts w:ascii="Arial" w:hAnsi="Arial" w:cs="Arial"/>
          <w:b/>
          <w:bCs/>
          <w:sz w:val="24"/>
          <w:szCs w:val="24"/>
        </w:rPr>
        <w:t>0</w:t>
      </w:r>
      <w:r w:rsidR="00D8031B">
        <w:rPr>
          <w:rFonts w:ascii="Arial" w:hAnsi="Arial" w:cs="Arial" w:hint="eastAsia"/>
          <w:b/>
          <w:bCs/>
          <w:sz w:val="24"/>
          <w:szCs w:val="24"/>
          <w:lang w:eastAsia="ko-KR"/>
        </w:rPr>
        <w:t>4581</w:t>
      </w:r>
    </w:p>
    <w:p w14:paraId="304AA13D" w14:textId="633F6A47" w:rsidR="00BC77CB" w:rsidRDefault="00B516D6">
      <w:pPr>
        <w:pBdr>
          <w:bottom w:val="single" w:sz="6" w:space="0" w:color="auto"/>
        </w:pBdr>
        <w:tabs>
          <w:tab w:val="right" w:pos="9638"/>
        </w:tabs>
        <w:rPr>
          <w:rFonts w:ascii="Arial" w:hAnsi="Arial" w:cs="Arial"/>
          <w:b/>
          <w:bCs/>
          <w:sz w:val="24"/>
          <w:szCs w:val="24"/>
        </w:rPr>
      </w:pPr>
      <w:r w:rsidRPr="00B1649F">
        <w:rPr>
          <w:rFonts w:ascii="Arial" w:hAnsi="Arial" w:cs="Arial" w:hint="eastAsia"/>
          <w:b/>
          <w:bCs/>
          <w:sz w:val="24"/>
        </w:rPr>
        <w:t>Changsha</w:t>
      </w:r>
      <w:r>
        <w:rPr>
          <w:rFonts w:ascii="Arial" w:hAnsi="Arial" w:cs="Arial"/>
          <w:b/>
          <w:bCs/>
          <w:sz w:val="24"/>
        </w:rPr>
        <w:t xml:space="preserve">, </w:t>
      </w:r>
      <w:r w:rsidRPr="006A4A4E">
        <w:rPr>
          <w:rFonts w:ascii="Arial" w:hAnsi="Arial" w:cs="Arial"/>
          <w:b/>
          <w:bCs/>
          <w:sz w:val="24"/>
          <w:szCs w:val="24"/>
        </w:rPr>
        <w:t>China</w:t>
      </w:r>
      <w:r>
        <w:rPr>
          <w:rFonts w:ascii="Arial" w:hAnsi="Arial" w:cs="Arial"/>
          <w:b/>
          <w:bCs/>
          <w:sz w:val="24"/>
        </w:rPr>
        <w:t xml:space="preserve">, </w:t>
      </w:r>
      <w:r>
        <w:rPr>
          <w:rFonts w:ascii="Arial" w:hAnsi="Arial" w:cs="Arial" w:hint="eastAsia"/>
          <w:b/>
          <w:bCs/>
          <w:sz w:val="24"/>
          <w:lang w:eastAsia="ko-KR"/>
        </w:rPr>
        <w:t>April</w:t>
      </w:r>
      <w:r>
        <w:rPr>
          <w:rFonts w:ascii="Arial" w:hAnsi="Arial" w:cs="Arial"/>
          <w:b/>
          <w:bCs/>
          <w:sz w:val="24"/>
        </w:rPr>
        <w:t xml:space="preserve"> </w:t>
      </w:r>
      <w:r>
        <w:rPr>
          <w:rFonts w:ascii="Arial" w:hAnsi="Arial" w:cs="Arial" w:hint="eastAsia"/>
          <w:b/>
          <w:bCs/>
          <w:sz w:val="24"/>
          <w:lang w:eastAsia="ko-KR"/>
        </w:rPr>
        <w:t>15</w:t>
      </w:r>
      <w:r>
        <w:rPr>
          <w:rFonts w:ascii="Arial" w:hAnsi="Arial" w:cs="Arial"/>
          <w:b/>
          <w:bCs/>
          <w:sz w:val="24"/>
        </w:rPr>
        <w:t xml:space="preserve"> –1</w:t>
      </w:r>
      <w:r>
        <w:rPr>
          <w:rFonts w:ascii="Arial" w:hAnsi="Arial" w:cs="Arial" w:hint="eastAsia"/>
          <w:b/>
          <w:bCs/>
          <w:sz w:val="24"/>
          <w:lang w:eastAsia="ko-KR"/>
        </w:rPr>
        <w:t>9</w:t>
      </w:r>
      <w:r>
        <w:rPr>
          <w:rFonts w:ascii="Arial" w:hAnsi="Arial" w:cs="Arial"/>
          <w:b/>
          <w:bCs/>
          <w:sz w:val="24"/>
        </w:rPr>
        <w:t>, 2024</w:t>
      </w:r>
      <w:r w:rsidR="00086B19">
        <w:rPr>
          <w:rFonts w:ascii="Arial" w:hAnsi="Arial" w:cs="Arial"/>
          <w:b/>
          <w:bCs/>
        </w:rPr>
        <w:tab/>
        <w:t>(</w:t>
      </w:r>
      <w:r w:rsidR="00086B19">
        <w:rPr>
          <w:rFonts w:ascii="Arial" w:hAnsi="Arial" w:cs="Arial"/>
          <w:b/>
          <w:bCs/>
          <w:color w:val="0000FF"/>
        </w:rPr>
        <w:t xml:space="preserve">revision of </w:t>
      </w:r>
      <w:r w:rsidR="0024717C" w:rsidRPr="0024717C">
        <w:rPr>
          <w:rFonts w:ascii="Arial" w:hAnsi="Arial" w:cs="Arial"/>
          <w:b/>
          <w:bCs/>
          <w:color w:val="0000FF"/>
        </w:rPr>
        <w:t>S2-240</w:t>
      </w:r>
      <w:r w:rsidR="007B1B93">
        <w:rPr>
          <w:rFonts w:ascii="Arial" w:hAnsi="Arial" w:cs="Arial" w:hint="eastAsia"/>
          <w:b/>
          <w:bCs/>
          <w:color w:val="0000FF"/>
          <w:lang w:eastAsia="ko-KR"/>
        </w:rPr>
        <w:t>xxxx</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46C9BB5D"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25F6F15F" w:rsidR="00BC77CB" w:rsidRPr="00437812" w:rsidRDefault="00086B19">
      <w:pPr>
        <w:ind w:left="2127" w:hanging="2127"/>
        <w:rPr>
          <w:rFonts w:ascii="Arial" w:eastAsiaTheme="minorEastAsia"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w:t>
      </w:r>
      <w:r w:rsidR="00087242">
        <w:rPr>
          <w:rFonts w:ascii="Arial" w:eastAsiaTheme="minorEastAsia" w:hAnsi="Arial" w:cs="Arial" w:hint="eastAsia"/>
          <w:b/>
          <w:bCs/>
          <w:lang w:eastAsia="ko-KR"/>
        </w:rPr>
        <w:t>1,</w:t>
      </w:r>
      <w:r w:rsidR="0072342B">
        <w:rPr>
          <w:rFonts w:ascii="Arial" w:eastAsia="Times New Roman" w:hAnsi="Arial" w:cs="Arial"/>
          <w:b/>
          <w:bCs/>
        </w:rPr>
        <w:t>2</w:t>
      </w:r>
      <w:r w:rsidR="00087242">
        <w:rPr>
          <w:rFonts w:ascii="Arial" w:eastAsiaTheme="minorEastAsia" w:hAnsi="Arial" w:cs="Arial" w:hint="eastAsia"/>
          <w:b/>
          <w:bCs/>
          <w:lang w:eastAsia="ko-KR"/>
        </w:rPr>
        <w:t>,3,5&amp;6</w:t>
      </w:r>
      <w:r w:rsidR="002F4353">
        <w:rPr>
          <w:rFonts w:ascii="Arial" w:eastAsia="Times New Roman" w:hAnsi="Arial" w:cs="Arial"/>
          <w:b/>
          <w:bCs/>
        </w:rPr>
        <w:t xml:space="preserve">, </w:t>
      </w:r>
      <w:r w:rsidR="007224FF" w:rsidRPr="007224FF">
        <w:rPr>
          <w:rFonts w:ascii="Arial" w:eastAsia="Times New Roman" w:hAnsi="Arial" w:cs="Arial"/>
          <w:b/>
          <w:bCs/>
        </w:rPr>
        <w:t>Sol</w:t>
      </w:r>
      <w:r w:rsidR="007B1B93">
        <w:rPr>
          <w:rFonts w:ascii="Arial" w:eastAsiaTheme="minorEastAsia" w:hAnsi="Arial" w:cs="Arial" w:hint="eastAsia"/>
          <w:b/>
          <w:bCs/>
          <w:lang w:eastAsia="ko-KR"/>
        </w:rPr>
        <w:t>#</w:t>
      </w:r>
      <w:r w:rsidR="00087242">
        <w:rPr>
          <w:rFonts w:ascii="Arial" w:eastAsiaTheme="minorEastAsia" w:hAnsi="Arial" w:cs="Arial" w:hint="eastAsia"/>
          <w:b/>
          <w:bCs/>
          <w:lang w:eastAsia="ko-KR"/>
        </w:rPr>
        <w:t>1</w:t>
      </w:r>
      <w:r w:rsidR="007224FF" w:rsidRPr="007224FF">
        <w:rPr>
          <w:rFonts w:ascii="Arial" w:eastAsia="Times New Roman" w:hAnsi="Arial" w:cs="Arial"/>
          <w:b/>
          <w:bCs/>
        </w:rPr>
        <w:t>:</w:t>
      </w:r>
      <w:r w:rsidR="002F4353">
        <w:rPr>
          <w:rFonts w:ascii="Arial" w:eastAsia="Times New Roman" w:hAnsi="Arial" w:cs="Arial"/>
          <w:b/>
        </w:rPr>
        <w:t xml:space="preserve"> </w:t>
      </w:r>
      <w:r w:rsidR="00437812">
        <w:rPr>
          <w:rFonts w:ascii="Arial" w:eastAsiaTheme="minorEastAsia" w:hAnsi="Arial" w:cs="Arial" w:hint="eastAsia"/>
          <w:b/>
          <w:lang w:eastAsia="ko-KR"/>
        </w:rPr>
        <w:t xml:space="preserve">Updates </w:t>
      </w:r>
      <w:r w:rsidR="00087242">
        <w:rPr>
          <w:rFonts w:ascii="Arial" w:eastAsiaTheme="minorEastAsia" w:hAnsi="Arial" w:cs="Arial" w:hint="eastAsia"/>
          <w:b/>
          <w:lang w:eastAsia="ko-KR"/>
        </w:rPr>
        <w:t xml:space="preserve">to resolve </w:t>
      </w:r>
      <w:r w:rsidR="003F7ACF">
        <w:rPr>
          <w:rFonts w:ascii="Arial" w:eastAsiaTheme="minorEastAsia" w:hAnsi="Arial" w:cs="Arial" w:hint="eastAsia"/>
          <w:b/>
          <w:lang w:eastAsia="ko-KR"/>
        </w:rPr>
        <w:t xml:space="preserve">some </w:t>
      </w:r>
      <w:r w:rsidR="00087242">
        <w:rPr>
          <w:rFonts w:ascii="Arial" w:eastAsiaTheme="minorEastAsia" w:hAnsi="Arial" w:cs="Arial" w:hint="eastAsia"/>
          <w:b/>
          <w:lang w:eastAsia="ko-KR"/>
        </w:rPr>
        <w:t>EN</w:t>
      </w:r>
      <w:r w:rsidR="003F7ACF">
        <w:rPr>
          <w:rFonts w:ascii="Arial" w:eastAsiaTheme="minorEastAsia" w:hAnsi="Arial" w:cs="Arial" w:hint="eastAsia"/>
          <w:b/>
          <w:lang w:eastAsia="ko-KR"/>
        </w:rPr>
        <w:t>s</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7A76896A"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72342B">
        <w:rPr>
          <w:rFonts w:ascii="Arial" w:hAnsi="Arial" w:cs="Arial"/>
          <w:b/>
        </w:rPr>
        <w:t>6</w:t>
      </w:r>
    </w:p>
    <w:p w14:paraId="2EC179D9" w14:textId="23060A6E"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255E05" w:rsidRPr="00255E05">
        <w:rPr>
          <w:rFonts w:ascii="Arial" w:hAnsi="Arial" w:cs="Arial"/>
          <w:b/>
        </w:rPr>
        <w:t>FS_</w:t>
      </w:r>
      <w:r w:rsidR="0072342B">
        <w:rPr>
          <w:rFonts w:ascii="Arial" w:hAnsi="Arial" w:cs="Arial"/>
          <w:b/>
        </w:rPr>
        <w:t>VMR_Ph2</w:t>
      </w:r>
      <w:r w:rsidR="00F2046E">
        <w:rPr>
          <w:rFonts w:ascii="Arial" w:hAnsi="Arial" w:cs="Arial"/>
          <w:b/>
        </w:rPr>
        <w:t xml:space="preserve"> / Rel-1</w:t>
      </w:r>
      <w:r w:rsidR="00246F02">
        <w:rPr>
          <w:rFonts w:ascii="Arial" w:hAnsi="Arial" w:cs="Arial"/>
          <w:b/>
        </w:rPr>
        <w:t>9</w:t>
      </w:r>
    </w:p>
    <w:p w14:paraId="4F6C49DB" w14:textId="172EBDFC"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proposes </w:t>
      </w:r>
      <w:r w:rsidR="007B1B93">
        <w:rPr>
          <w:rFonts w:ascii="Arial" w:hAnsi="Arial" w:cs="Arial" w:hint="eastAsia"/>
          <w:i/>
          <w:lang w:eastAsia="ko-KR"/>
        </w:rPr>
        <w:t>to update Solution#</w:t>
      </w:r>
      <w:r w:rsidR="00087242">
        <w:rPr>
          <w:rFonts w:ascii="Arial" w:hAnsi="Arial" w:cs="Arial" w:hint="eastAsia"/>
          <w:i/>
          <w:lang w:eastAsia="ko-KR"/>
        </w:rPr>
        <w:t>1</w:t>
      </w:r>
      <w:r w:rsidR="00987974" w:rsidRPr="00987974">
        <w:rPr>
          <w:rFonts w:ascii="Arial" w:hAnsi="Arial" w:cs="Arial"/>
          <w:i/>
        </w:rPr>
        <w:t>.</w:t>
      </w:r>
    </w:p>
    <w:p w14:paraId="085A301A" w14:textId="77777777" w:rsidR="00BC77CB" w:rsidRDefault="00086B19">
      <w:pPr>
        <w:pStyle w:val="1"/>
        <w:jc w:val="both"/>
      </w:pPr>
      <w:r>
        <w:t>Discussion</w:t>
      </w:r>
    </w:p>
    <w:p w14:paraId="5BC144FA" w14:textId="0B85649F" w:rsidR="00E21DA0" w:rsidRDefault="00036EBB" w:rsidP="004340D1">
      <w:pPr>
        <w:pStyle w:val="B1"/>
        <w:ind w:left="0" w:firstLine="0"/>
        <w:rPr>
          <w:lang w:eastAsia="ko-KR"/>
        </w:rPr>
      </w:pPr>
      <w:r>
        <w:rPr>
          <w:rFonts w:eastAsiaTheme="minorEastAsia" w:hint="eastAsia"/>
          <w:lang w:eastAsia="ko-KR"/>
        </w:rPr>
        <w:t xml:space="preserve">This paper updates </w:t>
      </w:r>
      <w:r w:rsidRPr="00612B8C">
        <w:t>Solution #1</w:t>
      </w:r>
      <w:r>
        <w:rPr>
          <w:rFonts w:hint="eastAsia"/>
          <w:lang w:eastAsia="ko-KR"/>
        </w:rPr>
        <w:t xml:space="preserve"> "</w:t>
      </w:r>
      <w:r w:rsidRPr="00612B8C">
        <w:t>Architecture enhancements to support MWAB operations</w:t>
      </w:r>
      <w:r>
        <w:rPr>
          <w:rFonts w:hint="eastAsia"/>
          <w:lang w:eastAsia="ko-KR"/>
        </w:rPr>
        <w:t>" by resolving the following ENs.</w:t>
      </w:r>
    </w:p>
    <w:p w14:paraId="094D1E4C" w14:textId="77777777" w:rsidR="00036EBB" w:rsidRDefault="00036EBB" w:rsidP="004340D1">
      <w:pPr>
        <w:pStyle w:val="B1"/>
        <w:ind w:left="0" w:firstLine="0"/>
        <w:rPr>
          <w:lang w:eastAsia="ko-KR"/>
        </w:rPr>
      </w:pPr>
    </w:p>
    <w:p w14:paraId="24CA8838" w14:textId="4665A68A" w:rsidR="00036EBB" w:rsidRDefault="00036EBB" w:rsidP="00036EBB">
      <w:pPr>
        <w:pStyle w:val="EditorsNote"/>
        <w:ind w:left="1559" w:hanging="1276"/>
        <w:rPr>
          <w:rFonts w:eastAsiaTheme="minorEastAsia"/>
          <w:lang w:eastAsia="en-GB"/>
        </w:rPr>
      </w:pPr>
      <w:r w:rsidRPr="00036EBB">
        <w:rPr>
          <w:rFonts w:eastAsiaTheme="minorEastAsia"/>
          <w:lang w:eastAsia="en-GB"/>
        </w:rPr>
        <w:t>Editor's note:</w:t>
      </w:r>
      <w:r w:rsidRPr="00036EBB">
        <w:rPr>
          <w:rFonts w:eastAsiaTheme="minorEastAsia"/>
          <w:lang w:eastAsia="en-GB"/>
        </w:rPr>
        <w:tab/>
        <w:t>It is FFS how to support MOCN RAN sharing.</w:t>
      </w:r>
    </w:p>
    <w:p w14:paraId="341ED832" w14:textId="1E58C092" w:rsidR="00036EBB" w:rsidRPr="00465E82" w:rsidRDefault="00036EBB" w:rsidP="00036EBB">
      <w:pPr>
        <w:pStyle w:val="EditorsNote"/>
        <w:ind w:left="1559" w:hanging="1276"/>
        <w:rPr>
          <w:rFonts w:eastAsiaTheme="minorEastAsia"/>
          <w:lang w:eastAsia="en-GB"/>
        </w:rPr>
      </w:pPr>
      <w:r>
        <w:t>Editor's note:</w:t>
      </w:r>
      <w:r>
        <w:tab/>
        <w:t>It is FFS whether enhancements is needed to prevent the MWAB-UE from selecting the MWAB-gNB cell (including the case of MWAB-UE and MWAB-gNB belonging to same MWAB).</w:t>
      </w:r>
    </w:p>
    <w:p w14:paraId="1DFD3570" w14:textId="77777777" w:rsidR="00DA6325" w:rsidRPr="00DA6325" w:rsidRDefault="00DA6325" w:rsidP="004340D1">
      <w:pPr>
        <w:pStyle w:val="B1"/>
        <w:ind w:left="0" w:firstLine="0"/>
        <w:rPr>
          <w:lang w:eastAsia="ko-KR"/>
        </w:rPr>
      </w:pPr>
    </w:p>
    <w:p w14:paraId="3D5AEE44" w14:textId="77777777" w:rsidR="00BC77CB" w:rsidRDefault="00086B19">
      <w:pPr>
        <w:pStyle w:val="1"/>
        <w:jc w:val="both"/>
      </w:pPr>
      <w:r>
        <w:t>Proposal</w:t>
      </w:r>
    </w:p>
    <w:p w14:paraId="64737BBF" w14:textId="6636EE2A"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1A3044">
        <w:rPr>
          <w:lang w:eastAsia="zh-CN"/>
        </w:rPr>
        <w:t>06</w:t>
      </w:r>
      <w:r w:rsidRPr="00C00533">
        <w:rPr>
          <w:lang w:eastAsia="zh-CN"/>
        </w:rPr>
        <w:t>.</w:t>
      </w:r>
    </w:p>
    <w:p w14:paraId="4673B71D" w14:textId="77777777" w:rsidR="00C759E7" w:rsidRDefault="00C759E7" w:rsidP="00C759E7">
      <w:pPr>
        <w:jc w:val="both"/>
        <w:rPr>
          <w:b/>
          <w:lang w:eastAsia="ko-KR"/>
        </w:rPr>
      </w:pPr>
    </w:p>
    <w:p w14:paraId="6044BCA9" w14:textId="77777777" w:rsidR="00C759E7" w:rsidRDefault="00C759E7" w:rsidP="00C759E7">
      <w:pPr>
        <w:pStyle w:val="StartEndofChange"/>
      </w:pPr>
      <w:r>
        <w:t xml:space="preserve">* * * * Start of 1st Change * * * * </w:t>
      </w:r>
    </w:p>
    <w:p w14:paraId="73BFC20D" w14:textId="77777777" w:rsidR="00087242" w:rsidRPr="00612B8C" w:rsidRDefault="00087242" w:rsidP="00087242">
      <w:pPr>
        <w:pStyle w:val="2"/>
      </w:pPr>
      <w:bookmarkStart w:id="0" w:name="_Toc157515660"/>
      <w:bookmarkStart w:id="1" w:name="_Toc161218344"/>
      <w:r w:rsidRPr="00612B8C">
        <w:t>6.1</w:t>
      </w:r>
      <w:r w:rsidRPr="00612B8C">
        <w:tab/>
        <w:t xml:space="preserve">Solution #1: </w:t>
      </w:r>
      <w:bookmarkEnd w:id="0"/>
      <w:r w:rsidRPr="00612B8C">
        <w:t>Architecture enhancements to support MWAB operations</w:t>
      </w:r>
      <w:bookmarkEnd w:id="1"/>
    </w:p>
    <w:p w14:paraId="1E846DD4" w14:textId="77777777" w:rsidR="00087242" w:rsidRPr="00612B8C" w:rsidRDefault="00087242" w:rsidP="00087242">
      <w:pPr>
        <w:pStyle w:val="30"/>
      </w:pPr>
      <w:bookmarkStart w:id="2" w:name="_Toc157515661"/>
      <w:bookmarkStart w:id="3" w:name="_Toc161218345"/>
      <w:r w:rsidRPr="00612B8C">
        <w:t>6.1.1</w:t>
      </w:r>
      <w:r w:rsidRPr="00612B8C">
        <w:tab/>
        <w:t>General</w:t>
      </w:r>
      <w:bookmarkEnd w:id="2"/>
      <w:bookmarkEnd w:id="3"/>
    </w:p>
    <w:p w14:paraId="5976104B" w14:textId="77777777" w:rsidR="00087242" w:rsidRDefault="00087242" w:rsidP="00087242">
      <w:r>
        <w:t>Figure 6.1.1-1 presents an example architecture for the MWAB operation when no roaming was involved for the MWAB-UE. In this case, there may be two PLMNs involved, i.e. the PLMN 1 that serves the MWAB-UE, and the PLMN 2 that serves the UE connected to the MWAB.</w:t>
      </w:r>
    </w:p>
    <w:p w14:paraId="215BE284" w14:textId="77777777" w:rsidR="00087242" w:rsidRDefault="00087242" w:rsidP="00087242">
      <w:r>
        <w:t>In this case, the MWAB-gNB logically belongs to PLMN 2, and establishes N2 and N3 connection with the UE AMF and UE UPF via the PDU session of the MWAB-UE established with PLMN 1. MWAB-gNB announces PLMN IDs of PLMN 2.</w:t>
      </w:r>
    </w:p>
    <w:p w14:paraId="5D0DB08D" w14:textId="77777777" w:rsidR="00087242" w:rsidRDefault="00087242" w:rsidP="00087242">
      <w:r>
        <w:t>If the UE served by the MWAB is roaming, there is another PLMN (not shown in the figure), i.e. the HPLMN of the UE served by the MWAB, involved. The interactions of the HPLMN of the UE and PLMN 2 are the same as that described in clause 4.2.4 of TS 23.501 [2] for the roaming case.</w:t>
      </w:r>
    </w:p>
    <w:p w14:paraId="713AFFD0" w14:textId="77777777" w:rsidR="00087242" w:rsidRDefault="00087242" w:rsidP="00087242">
      <w:r>
        <w:t>The MWAB UPF in PLMN 1 serves the MWAB-UE and provides the connection via a N6 interface towards PLMN 2, to carry the N2 and N3 traffic from MWAB-gNB. The MWAB-UPF also supports the access to the OAM system in PLMN 2 by the MWAB-gNB.</w:t>
      </w:r>
    </w:p>
    <w:p w14:paraId="7F74D2A8" w14:textId="77777777" w:rsidR="00087242" w:rsidRDefault="00087242" w:rsidP="00087242">
      <w:pPr>
        <w:pStyle w:val="NO"/>
      </w:pPr>
      <w:r>
        <w:lastRenderedPageBreak/>
        <w:t>NOTE:</w:t>
      </w:r>
      <w:r>
        <w:tab/>
        <w:t>Depending on deployment requirement, a security gateway may be required between the MWAB-UPF and the PLMN 2 core network. In that case, the MWAB-gNB need to connect to the security gateway based on pre-configured security credentials. In that case, the traffic between MWAB-gNB and the PLMN 2 goes inside the security tunnel established via the security gateway.</w:t>
      </w:r>
    </w:p>
    <w:p w14:paraId="3FC2803A" w14:textId="77777777" w:rsidR="00087242" w:rsidRPr="00087242" w:rsidRDefault="00087242" w:rsidP="00087242">
      <w:pPr>
        <w:pStyle w:val="EditorsNote"/>
        <w:ind w:left="1559" w:hanging="1276"/>
        <w:rPr>
          <w:rFonts w:eastAsiaTheme="minorEastAsia"/>
          <w:lang w:eastAsia="en-GB"/>
        </w:rPr>
      </w:pPr>
      <w:r w:rsidRPr="00087242">
        <w:rPr>
          <w:rFonts w:eastAsiaTheme="minorEastAsia"/>
          <w:lang w:eastAsia="en-GB"/>
        </w:rPr>
        <w:t>Editor's note:</w:t>
      </w:r>
      <w:r w:rsidRPr="00087242">
        <w:rPr>
          <w:rFonts w:eastAsiaTheme="minorEastAsia"/>
          <w:lang w:eastAsia="en-GB"/>
        </w:rPr>
        <w:tab/>
        <w:t>Details of such operation with the security gateway will be coordinated with RAN WG3 and SA WG3.</w:t>
      </w:r>
    </w:p>
    <w:p w14:paraId="23BDFB07" w14:textId="77777777" w:rsidR="00087242" w:rsidRDefault="00087242" w:rsidP="00087242">
      <w:r>
        <w:t>UE connected to the MWAB-gNB can access the 5GS services offered by PLMN 2 as normal. No enhancement to the UE is required. The UE connected to the MWAB-gNB is not aware of PLMN 1, and thus does not need any roaming agreement between its HPLMN and the PLMN 1.</w:t>
      </w:r>
    </w:p>
    <w:p w14:paraId="4A53F9BC" w14:textId="77777777" w:rsidR="00087242" w:rsidRDefault="00087242" w:rsidP="00087242">
      <w:r>
        <w:t>In some cases, the PLMN 1 and PLMN 2 can be the same PLMN.</w:t>
      </w:r>
    </w:p>
    <w:p w14:paraId="12A071FF" w14:textId="77777777" w:rsidR="00087242" w:rsidRDefault="00087242" w:rsidP="00087242">
      <w:pPr>
        <w:pStyle w:val="TH"/>
      </w:pPr>
      <w:r>
        <w:object w:dxaOrig="13290" w:dyaOrig="7170" w14:anchorId="6F9A3A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1pt" o:ole="">
            <v:imagedata r:id="rId8" o:title=""/>
          </v:shape>
          <o:OLEObject Type="Embed" ProgID="Visio.Drawing.15" ShapeID="_x0000_i1025" DrawAspect="Content" ObjectID="_1773843899" r:id="rId9"/>
        </w:object>
      </w:r>
    </w:p>
    <w:p w14:paraId="30420F2A" w14:textId="77777777" w:rsidR="00087242" w:rsidRPr="00612B8C" w:rsidRDefault="00087242" w:rsidP="00087242">
      <w:pPr>
        <w:pStyle w:val="TF"/>
      </w:pPr>
      <w:r w:rsidRPr="00612B8C">
        <w:t xml:space="preserve">Figure 6.1.1-1: Architecture for MWAB operation support </w:t>
      </w:r>
      <w:r>
        <w:t>-</w:t>
      </w:r>
      <w:r w:rsidRPr="00612B8C">
        <w:t xml:space="preserve"> non-roaming</w:t>
      </w:r>
    </w:p>
    <w:p w14:paraId="714C9BB1" w14:textId="77777777" w:rsidR="00087242" w:rsidRDefault="00087242" w:rsidP="00087242">
      <w:r>
        <w:t>Figure 6.1.1-2 presents an example architecture for the MWAB operation when MWAB-UE is roaming with a Local Breakout PDU session for its operation. In this case, there may be three PLMNs involved, i.e. the PLMN 1 that serves the MWAB-UE, and the PLMN 2 that serves the UE connected to the MWAB, and the HPLMN of the MWAB-UE. The use of the Local Breakout PDU session by the MWAB can be configured by the HPLMN, e.g. with some VPLMN specific URSP rules.</w:t>
      </w:r>
    </w:p>
    <w:p w14:paraId="22FDC28C" w14:textId="77777777" w:rsidR="00087242" w:rsidRDefault="00087242" w:rsidP="00087242">
      <w:r>
        <w:t>In this case, the PLMN-1 may access the MWAB's HPLMN UDM for the subscription information. The rest of the operation are similar to that shown in Figure 6.1.1-1.</w:t>
      </w:r>
    </w:p>
    <w:p w14:paraId="7C1D4867" w14:textId="77777777" w:rsidR="00087242" w:rsidRDefault="00087242" w:rsidP="00087242">
      <w:r>
        <w:t>If the UE served by the MWAB is roaming, there is another PLMN (not shown in the figure), i.e. the HPLMN of the UE served by the MWAB, involved. In that case, the interaction of the HPLMN of the UE and PLMN 2 is the same as that described in TS 23.501 [2] for the roaming case.</w:t>
      </w:r>
    </w:p>
    <w:p w14:paraId="0A6F8591" w14:textId="77777777" w:rsidR="00087242" w:rsidRDefault="00087242" w:rsidP="00087242">
      <w:r>
        <w:t>The UE served by the MWAB-gNB is not aware of PLMN 1, and thus does not need any roaming agreement between its HPLMN and the PLMN 1.</w:t>
      </w:r>
    </w:p>
    <w:p w14:paraId="7363BFC0" w14:textId="77777777" w:rsidR="00087242" w:rsidRDefault="00087242" w:rsidP="00087242">
      <w:pPr>
        <w:pStyle w:val="TH"/>
      </w:pPr>
      <w:r>
        <w:object w:dxaOrig="13336" w:dyaOrig="8341" w14:anchorId="0ACFD2E0">
          <v:shape id="_x0000_i1026" type="#_x0000_t75" style="width:481.5pt;height:300.75pt" o:ole="">
            <v:imagedata r:id="rId10" o:title=""/>
          </v:shape>
          <o:OLEObject Type="Embed" ProgID="Visio.Drawing.15" ShapeID="_x0000_i1026" DrawAspect="Content" ObjectID="_1773843900" r:id="rId11"/>
        </w:object>
      </w:r>
    </w:p>
    <w:p w14:paraId="54C00BCE" w14:textId="77777777" w:rsidR="00087242" w:rsidRPr="004D7618" w:rsidRDefault="00087242" w:rsidP="00087242">
      <w:pPr>
        <w:pStyle w:val="TF"/>
        <w:rPr>
          <w:lang w:val="en-US"/>
        </w:rPr>
      </w:pPr>
      <w:r>
        <w:t>Figure 6.1.1-</w:t>
      </w:r>
      <w:r>
        <w:rPr>
          <w:lang w:val="en-US"/>
        </w:rPr>
        <w:t>2:</w:t>
      </w:r>
      <w:r>
        <w:t xml:space="preserve"> Architecture for MWAB operation support - </w:t>
      </w:r>
      <w:r>
        <w:rPr>
          <w:lang w:val="en-US"/>
        </w:rPr>
        <w:t>roaming with Local Breakout</w:t>
      </w:r>
    </w:p>
    <w:p w14:paraId="6691BCC5" w14:textId="77777777" w:rsidR="00087242" w:rsidRDefault="00087242" w:rsidP="00087242">
      <w:r>
        <w:t>Figure 6.1.1-3 presents an example architecture for the MWAB operation when MWAB-UE is roaming with a Home Routed PDU session for its operation. In this case, PDU session of the MWAB-UE is routed by PLMN 1 to the HPLMN of the MWAB.</w:t>
      </w:r>
    </w:p>
    <w:p w14:paraId="0003B0BB" w14:textId="77777777" w:rsidR="00087242" w:rsidRDefault="00087242" w:rsidP="00087242">
      <w:r>
        <w:t>In this case, the PLMN-1 may access the MWAB's HPLMN UDM for the subscription information. The rest of the operation are similar to that shown in Figure 6.1.1-1.</w:t>
      </w:r>
    </w:p>
    <w:p w14:paraId="289F9D46" w14:textId="77777777" w:rsidR="00087242" w:rsidRDefault="00087242" w:rsidP="00087242">
      <w:r>
        <w:t>If the UE served by the MWAB is roaming, there is another PLMN (not shown in the figure), i.e. the HPLMN of the UE served by the MWAB, involved. In that case, the interaction of the HPLMN of the UE and PLMN 2 is the same as that described in TS 23.501 [2] for the roaming case.</w:t>
      </w:r>
    </w:p>
    <w:p w14:paraId="31C148C7" w14:textId="6DF1CFD3" w:rsidR="007F7F02" w:rsidRPr="007F7F02" w:rsidRDefault="00087242" w:rsidP="00087242">
      <w:pPr>
        <w:rPr>
          <w:lang w:val="en-US"/>
        </w:rPr>
      </w:pPr>
      <w:r>
        <w:t>The UE served by the MWAB-gNB (of PLMN-2) is not aware of PLMN 1, and thus does not need any roaming agreement between its HPLMN and the PLMN 1.</w:t>
      </w:r>
    </w:p>
    <w:p w14:paraId="450B20DA" w14:textId="77777777" w:rsidR="00087242" w:rsidRPr="00087242" w:rsidRDefault="00087242" w:rsidP="00087242">
      <w:pPr>
        <w:pStyle w:val="EditorsNote"/>
        <w:ind w:left="1559" w:hanging="1276"/>
        <w:rPr>
          <w:rFonts w:eastAsiaTheme="minorEastAsia"/>
          <w:lang w:eastAsia="en-GB"/>
        </w:rPr>
      </w:pPr>
      <w:r w:rsidRPr="00087242">
        <w:rPr>
          <w:rFonts w:eastAsiaTheme="minorEastAsia"/>
          <w:lang w:eastAsia="en-GB"/>
        </w:rPr>
        <w:t>Editor's note:</w:t>
      </w:r>
      <w:r w:rsidRPr="00087242">
        <w:rPr>
          <w:rFonts w:eastAsiaTheme="minorEastAsia"/>
          <w:lang w:eastAsia="en-GB"/>
        </w:rPr>
        <w:tab/>
        <w:t>It is FFS how to ensure that the S-NSSAI used by MWAB-UE allows access to PLMN 2's slice serving the UE.</w:t>
      </w:r>
    </w:p>
    <w:p w14:paraId="56F829F1" w14:textId="77777777" w:rsidR="00087242" w:rsidRPr="00612B8C" w:rsidRDefault="00087242" w:rsidP="00087242">
      <w:pPr>
        <w:pStyle w:val="TH"/>
      </w:pPr>
      <w:r w:rsidRPr="00612B8C">
        <w:object w:dxaOrig="13215" w:dyaOrig="9151" w14:anchorId="61D99897">
          <v:shape id="_x0000_i1027" type="#_x0000_t75" style="width:481.5pt;height:333.75pt" o:ole="">
            <v:imagedata r:id="rId12" o:title=""/>
          </v:shape>
          <o:OLEObject Type="Embed" ProgID="Visio.Drawing.15" ShapeID="_x0000_i1027" DrawAspect="Content" ObjectID="_1773843901" r:id="rId13"/>
        </w:object>
      </w:r>
    </w:p>
    <w:p w14:paraId="096DE383" w14:textId="77777777" w:rsidR="00087242" w:rsidRPr="00612B8C" w:rsidRDefault="00087242" w:rsidP="00087242">
      <w:pPr>
        <w:pStyle w:val="TF"/>
      </w:pPr>
      <w:r w:rsidRPr="00612B8C">
        <w:t>Figure 6.1.1-3</w:t>
      </w:r>
      <w:r>
        <w:t>:</w:t>
      </w:r>
      <w:r w:rsidRPr="00612B8C">
        <w:t xml:space="preserve"> Architecture for MWAB operation support - roaming with Home Routed</w:t>
      </w:r>
    </w:p>
    <w:p w14:paraId="57BDCDB6" w14:textId="77777777" w:rsidR="00087242" w:rsidRPr="00612B8C" w:rsidRDefault="00087242" w:rsidP="00087242">
      <w:pPr>
        <w:pStyle w:val="30"/>
      </w:pPr>
      <w:bookmarkStart w:id="4" w:name="_Toc157515662"/>
      <w:bookmarkStart w:id="5" w:name="_Toc161218346"/>
      <w:r w:rsidRPr="00612B8C">
        <w:t>6.1.2</w:t>
      </w:r>
      <w:r w:rsidRPr="00612B8C">
        <w:tab/>
        <w:t>Functional descriptions</w:t>
      </w:r>
      <w:bookmarkEnd w:id="4"/>
      <w:bookmarkEnd w:id="5"/>
    </w:p>
    <w:p w14:paraId="2789B701" w14:textId="77777777" w:rsidR="00087242" w:rsidRDefault="00087242" w:rsidP="00087242">
      <w:bookmarkStart w:id="6" w:name="_Toc157515663"/>
      <w:r>
        <w:t>The MWAB operates as follows to provide service to a UE:</w:t>
      </w:r>
    </w:p>
    <w:p w14:paraId="693E6CD0" w14:textId="77777777" w:rsidR="00087242" w:rsidRDefault="00087242" w:rsidP="00087242">
      <w:pPr>
        <w:pStyle w:val="B1"/>
      </w:pPr>
      <w:r>
        <w:t>1.</w:t>
      </w:r>
      <w:r>
        <w:tab/>
        <w:t>To operate as a MWAB, the MWAB-UE needs to first register to a serving network that is allowed by its subscription, and that is PLMN 1 in the architecture shown in clause 6.1.1. The serving PLMN authorizes the MWAB based on its subscription and provides the authorization result indication to the MWAB-UE.</w:t>
      </w:r>
    </w:p>
    <w:p w14:paraId="1AE16465" w14:textId="77777777" w:rsidR="00087242" w:rsidRDefault="00087242" w:rsidP="00087242">
      <w:pPr>
        <w:pStyle w:val="B1"/>
      </w:pPr>
      <w:r>
        <w:t>2.</w:t>
      </w:r>
      <w:r>
        <w:tab/>
        <w:t>MWAB-UE provides the authorization result indication to the MWAB-gNB, which may trigger the MWAB-gNB to attempt the connection with the PLMN it serves, i.e. PLMN 2 in the architectures shown in clause 6.1.1.</w:t>
      </w:r>
    </w:p>
    <w:p w14:paraId="53D541B2" w14:textId="77777777" w:rsidR="00087242" w:rsidRDefault="00087242" w:rsidP="00087242">
      <w:pPr>
        <w:pStyle w:val="B1"/>
      </w:pPr>
      <w:r>
        <w:t>3.</w:t>
      </w:r>
      <w:r>
        <w:tab/>
        <w:t>The attempt from the MWAB-gNB triggers the MWAB-UE to establishes a PDU session(s) for the MWAB operation, based on the configuration of the MWAB-UE, e.g. with the proper DNN, S-NSSAI, and the SSC Mode. Only IP based of PDU sessions are used for the MWAB operations support. The configuration of the MWAB-UE can be Local Configuration, or URSP rules.</w:t>
      </w:r>
    </w:p>
    <w:p w14:paraId="37461CAF" w14:textId="77777777" w:rsidR="00087242" w:rsidRDefault="00087242" w:rsidP="00087242">
      <w:pPr>
        <w:pStyle w:val="B1"/>
      </w:pPr>
      <w:r>
        <w:t>4.</w:t>
      </w:r>
      <w:r>
        <w:tab/>
        <w:t>The serving PLMN of MWAB-UE selects the proper MWAB UPF according to the DNN and S-NSSAI for the PDU session and ensures that the selected MWAB UPF provides the connection to the PLMN 2's AMF and UPF.</w:t>
      </w:r>
    </w:p>
    <w:p w14:paraId="17C7494E" w14:textId="77777777" w:rsidR="00087242" w:rsidRDefault="00087242" w:rsidP="00087242">
      <w:pPr>
        <w:pStyle w:val="B1"/>
      </w:pPr>
      <w:r>
        <w:t>5.</w:t>
      </w:r>
      <w:r>
        <w:tab/>
        <w:t>The MWAB-gNB establishes the connection to the OAM system of the PLMN 2 and obtains the corresponding configurations to operate as a gNB for PLMN 2. This includes for example the configuration on the AS layer operation, and also the information to be sent in the SIB, e.g. PLMN ID(s). Details of the configuration information are out of scope of SA2.</w:t>
      </w:r>
    </w:p>
    <w:p w14:paraId="5354061C" w14:textId="77777777" w:rsidR="00087242" w:rsidRDefault="00087242" w:rsidP="00087242">
      <w:pPr>
        <w:pStyle w:val="B1"/>
      </w:pPr>
      <w:r>
        <w:t>6.</w:t>
      </w:r>
      <w:r>
        <w:tab/>
        <w:t>The MWAB starts to operate based on the OAM control as a gNB for PLMN 2, and serves the UE in proximity for PLMN 2. The MWAB-gNB may also instructed by the OAM system to establish N2 interface using the NG setup procedure defined in TS 38.413 [8] with some AMFs in PLMN 2 over the PDU session provided by MWAB-UE.</w:t>
      </w:r>
    </w:p>
    <w:p w14:paraId="597B32AB" w14:textId="7EC63B90" w:rsidR="00087242" w:rsidRPr="00087242" w:rsidRDefault="00087242" w:rsidP="00087242">
      <w:pPr>
        <w:pStyle w:val="EditorsNote"/>
        <w:ind w:left="1559" w:hanging="1276"/>
        <w:rPr>
          <w:rFonts w:eastAsiaTheme="minorEastAsia"/>
          <w:lang w:eastAsia="en-GB"/>
        </w:rPr>
      </w:pPr>
      <w:del w:id="7" w:author="LaeYoung (LG Electronics)" w:date="2024-04-04T18:57:00Z">
        <w:r w:rsidRPr="00087242" w:rsidDel="006A5365">
          <w:rPr>
            <w:rFonts w:eastAsiaTheme="minorEastAsia"/>
            <w:lang w:eastAsia="en-GB"/>
          </w:rPr>
          <w:delText>Editor's note:</w:delText>
        </w:r>
        <w:r w:rsidRPr="00087242" w:rsidDel="006A5365">
          <w:rPr>
            <w:rFonts w:eastAsiaTheme="minorEastAsia"/>
            <w:lang w:eastAsia="en-GB"/>
          </w:rPr>
          <w:tab/>
          <w:delText>It is FFS how to support MOCN RAN sharing.</w:delText>
        </w:r>
      </w:del>
    </w:p>
    <w:p w14:paraId="6653A36F" w14:textId="77777777" w:rsidR="00087242" w:rsidRDefault="00087242" w:rsidP="00087242">
      <w:pPr>
        <w:pStyle w:val="B1"/>
      </w:pPr>
      <w:r>
        <w:lastRenderedPageBreak/>
        <w:t>7.</w:t>
      </w:r>
      <w:r>
        <w:tab/>
        <w:t>When a UE camps on the MWAB-gNB starts requests a connection, e.g. initiates a registration or service request procedure, the MWAB-gNB performs usual operation as specified in TS 23.501 [2] and route the message to a suitable UE AMF in PLMN 2. The AMF may be aware of that the UE is served by a MWAB based on the ULI information.</w:t>
      </w:r>
    </w:p>
    <w:p w14:paraId="31B1C6F2" w14:textId="77777777" w:rsidR="00087242" w:rsidRDefault="00087242" w:rsidP="00087242">
      <w:pPr>
        <w:pStyle w:val="B1"/>
      </w:pPr>
      <w:r>
        <w:t>8.</w:t>
      </w:r>
      <w:r>
        <w:tab/>
        <w:t>When the UE establishes a PDU session, the UE SMF selects a proper UE UPF. The MWAG-gNB may establish the N3 interface with the UPF over the PDU session of the MWAB-UE, if it is not yet established.</w:t>
      </w:r>
    </w:p>
    <w:p w14:paraId="0C2A01CB" w14:textId="77777777" w:rsidR="00087242" w:rsidRDefault="00087242" w:rsidP="00087242">
      <w:pPr>
        <w:pStyle w:val="B1"/>
      </w:pPr>
      <w:r>
        <w:t>9.</w:t>
      </w:r>
      <w:r>
        <w:tab/>
        <w:t>The UE served by the MWAB-gNB (of PLMN-2) is not aware of the serving PLMN of the MWAB-UE, and thus does not need a roaming agreement with the serving PLMN of the MWAB-UE.</w:t>
      </w:r>
    </w:p>
    <w:p w14:paraId="503E8D1F" w14:textId="7E545D22" w:rsidR="00E243CD" w:rsidRDefault="006A5365" w:rsidP="00087242">
      <w:pPr>
        <w:rPr>
          <w:ins w:id="8" w:author="LaeYoung (LG Electronics)" w:date="2024-04-04T18:54:00Z"/>
          <w:lang w:eastAsia="ko-KR"/>
        </w:rPr>
      </w:pPr>
      <w:ins w:id="9" w:author="LaeYoung (LG Electronics)" w:date="2024-04-04T18:57:00Z">
        <w:r>
          <w:rPr>
            <w:rFonts w:hint="eastAsia"/>
            <w:lang w:eastAsia="ko-KR"/>
          </w:rPr>
          <w:t>To support</w:t>
        </w:r>
      </w:ins>
      <w:ins w:id="10" w:author="LaeYoung (LG Electronics)" w:date="2024-04-04T18:38:00Z">
        <w:r w:rsidR="00E64E58" w:rsidRPr="00E64E58">
          <w:t xml:space="preserve"> MOCN RAN sharing,</w:t>
        </w:r>
        <w:r w:rsidR="00E64E58">
          <w:rPr>
            <w:rFonts w:hint="eastAsia"/>
            <w:lang w:eastAsia="ko-KR"/>
          </w:rPr>
          <w:t xml:space="preserve"> </w:t>
        </w:r>
      </w:ins>
      <w:ins w:id="11" w:author="LaeYoung (LG Electronics)" w:date="2024-04-04T18:54:00Z">
        <w:r w:rsidR="00E243CD">
          <w:rPr>
            <w:rFonts w:hint="eastAsia"/>
            <w:lang w:eastAsia="ko-KR"/>
          </w:rPr>
          <w:t>the following two cases can be considered</w:t>
        </w:r>
      </w:ins>
      <w:ins w:id="12" w:author="LaeYoung (LG Electronics)" w:date="2024-04-05T11:44:00Z">
        <w:r w:rsidR="00B115BC">
          <w:rPr>
            <w:rFonts w:hint="eastAsia"/>
            <w:lang w:eastAsia="ko-KR"/>
          </w:rPr>
          <w:t>. The operations of the MWAB-gNB</w:t>
        </w:r>
      </w:ins>
      <w:ins w:id="13" w:author="LaeYoung (LG Electronics)" w:date="2024-04-05T11:45:00Z">
        <w:r w:rsidR="00B115BC">
          <w:rPr>
            <w:rFonts w:hint="eastAsia"/>
            <w:lang w:eastAsia="ko-KR"/>
          </w:rPr>
          <w:t xml:space="preserve"> are based on </w:t>
        </w:r>
      </w:ins>
      <w:ins w:id="14" w:author="LaeYoung (LG Electronics)" w:date="2024-04-05T11:31:00Z">
        <w:r w:rsidR="00BF55D0">
          <w:rPr>
            <w:rFonts w:hint="eastAsia"/>
            <w:lang w:eastAsia="ko-KR"/>
          </w:rPr>
          <w:t>clause</w:t>
        </w:r>
        <w:r w:rsidR="00BF55D0">
          <w:t> </w:t>
        </w:r>
        <w:r w:rsidR="00BF55D0" w:rsidRPr="001B7C50">
          <w:t>5.18</w:t>
        </w:r>
      </w:ins>
      <w:ins w:id="15" w:author="LaeYoung (LG Electronics)" w:date="2024-04-05T11:32:00Z">
        <w:r w:rsidR="00BF55D0">
          <w:rPr>
            <w:rFonts w:hint="eastAsia"/>
            <w:lang w:eastAsia="ko-KR"/>
          </w:rPr>
          <w:t xml:space="preserve"> of </w:t>
        </w:r>
        <w:r w:rsidR="00BF55D0" w:rsidRPr="00112145">
          <w:t>TS</w:t>
        </w:r>
        <w:r w:rsidR="00BF55D0">
          <w:t> </w:t>
        </w:r>
        <w:r w:rsidR="00BF55D0" w:rsidRPr="00112145">
          <w:t>23.501</w:t>
        </w:r>
        <w:r w:rsidR="00BF55D0">
          <w:t> </w:t>
        </w:r>
        <w:r w:rsidR="00BF55D0" w:rsidRPr="00112145">
          <w:t>[2]</w:t>
        </w:r>
      </w:ins>
      <w:ins w:id="16" w:author="LaeYoung (LG Electronics)" w:date="2024-04-05T11:45:00Z">
        <w:r w:rsidR="00B115BC">
          <w:rPr>
            <w:rFonts w:hint="eastAsia"/>
            <w:lang w:eastAsia="ko-KR"/>
          </w:rPr>
          <w:t>.</w:t>
        </w:r>
      </w:ins>
    </w:p>
    <w:p w14:paraId="45D3D3E8" w14:textId="566E98D0" w:rsidR="00E64E58" w:rsidRDefault="00E243CD" w:rsidP="00E243CD">
      <w:pPr>
        <w:pStyle w:val="B1"/>
        <w:rPr>
          <w:ins w:id="17" w:author="LaeYoung (LG Electronics)" w:date="2024-04-05T11:28:00Z"/>
          <w:lang w:eastAsia="ko-KR"/>
        </w:rPr>
      </w:pPr>
      <w:ins w:id="18" w:author="LaeYoung (LG Electronics)" w:date="2024-04-04T18:54:00Z">
        <w:r>
          <w:rPr>
            <w:rFonts w:hint="eastAsia"/>
            <w:lang w:eastAsia="ko-KR"/>
          </w:rPr>
          <w:t>1)</w:t>
        </w:r>
      </w:ins>
      <w:ins w:id="19" w:author="LaeYoung (LG Electronics)" w:date="2024-04-04T18:55:00Z">
        <w:r>
          <w:rPr>
            <w:lang w:eastAsia="ko-KR"/>
          </w:rPr>
          <w:tab/>
        </w:r>
      </w:ins>
      <w:ins w:id="20" w:author="LaeYoung (LG Electronics)" w:date="2024-04-04T18:58:00Z">
        <w:r w:rsidR="00E54009">
          <w:rPr>
            <w:rFonts w:hint="eastAsia"/>
            <w:lang w:eastAsia="ko-KR"/>
          </w:rPr>
          <w:t xml:space="preserve">A </w:t>
        </w:r>
      </w:ins>
      <w:ins w:id="21" w:author="LaeYoung (LG Electronics)" w:date="2024-04-04T18:56:00Z">
        <w:r>
          <w:rPr>
            <w:rFonts w:hint="eastAsia"/>
            <w:lang w:eastAsia="ko-KR"/>
          </w:rPr>
          <w:t xml:space="preserve">MWAB contains </w:t>
        </w:r>
      </w:ins>
      <w:ins w:id="22" w:author="LaeYoung (LG Electronics)" w:date="2024-04-04T18:39:00Z">
        <w:r w:rsidR="00E64E58">
          <w:t>MWAB-UE</w:t>
        </w:r>
      </w:ins>
      <w:ins w:id="23" w:author="LaeYoung (LG Electronics)" w:date="2024-04-04T18:45:00Z">
        <w:r>
          <w:rPr>
            <w:rFonts w:hint="eastAsia"/>
            <w:lang w:eastAsia="ko-KR"/>
          </w:rPr>
          <w:t xml:space="preserve"> part </w:t>
        </w:r>
      </w:ins>
      <w:ins w:id="24" w:author="LaeYoung (LG Electronics)" w:date="2024-04-04T18:46:00Z">
        <w:r>
          <w:rPr>
            <w:rFonts w:hint="eastAsia"/>
            <w:lang w:eastAsia="ko-KR"/>
          </w:rPr>
          <w:t xml:space="preserve">for each </w:t>
        </w:r>
      </w:ins>
      <w:ins w:id="25" w:author="LaeYoung (LG Electronics)" w:date="2024-04-04T18:47:00Z">
        <w:r>
          <w:rPr>
            <w:rFonts w:hint="eastAsia"/>
            <w:lang w:eastAsia="ko-KR"/>
          </w:rPr>
          <w:t>PLMN.</w:t>
        </w:r>
      </w:ins>
    </w:p>
    <w:p w14:paraId="2961F673" w14:textId="18C4B29A" w:rsidR="003E3805" w:rsidRDefault="00BF55D0" w:rsidP="003E3805">
      <w:pPr>
        <w:pStyle w:val="B2"/>
        <w:rPr>
          <w:ins w:id="26" w:author="LaeYoung (LG Electronics)" w:date="2024-04-05T11:34:00Z"/>
          <w:lang w:eastAsia="ko-KR"/>
        </w:rPr>
      </w:pPr>
      <w:ins w:id="27" w:author="LaeYoung (LG Electronics)" w:date="2024-04-05T11:34:00Z">
        <w:r>
          <w:rPr>
            <w:rFonts w:hint="eastAsia"/>
            <w:lang w:eastAsia="ko-KR"/>
          </w:rPr>
          <w:t>-</w:t>
        </w:r>
        <w:r>
          <w:rPr>
            <w:lang w:eastAsia="ko-KR"/>
          </w:rPr>
          <w:tab/>
        </w:r>
      </w:ins>
      <w:ins w:id="28" w:author="LaeYoung (LG Electronics)" w:date="2024-04-05T11:28:00Z">
        <w:r w:rsidR="003E3805">
          <w:rPr>
            <w:rFonts w:hint="eastAsia"/>
            <w:lang w:eastAsia="ko-KR"/>
          </w:rPr>
          <w:t xml:space="preserve">The MWAB-UE </w:t>
        </w:r>
      </w:ins>
      <w:ins w:id="29" w:author="LaeYoung (LG Electronics)" w:date="2024-04-05T11:34:00Z">
        <w:r>
          <w:rPr>
            <w:rFonts w:hint="eastAsia"/>
            <w:lang w:eastAsia="ko-KR"/>
          </w:rPr>
          <w:t>for each PLMN</w:t>
        </w:r>
      </w:ins>
      <w:ins w:id="30" w:author="LaeYoung (LG Electronics)" w:date="2024-04-05T11:47:00Z">
        <w:r w:rsidR="00F35682">
          <w:rPr>
            <w:rFonts w:hint="eastAsia"/>
            <w:lang w:eastAsia="ko-KR"/>
          </w:rPr>
          <w:t xml:space="preserve"> (i.e. Each MWAB-UE subscribing to different PLMN)</w:t>
        </w:r>
      </w:ins>
      <w:ins w:id="31" w:author="LaeYoung (LG Electronics)" w:date="2024-04-05T11:34:00Z">
        <w:r>
          <w:rPr>
            <w:rFonts w:hint="eastAsia"/>
            <w:lang w:eastAsia="ko-KR"/>
          </w:rPr>
          <w:t xml:space="preserve"> </w:t>
        </w:r>
      </w:ins>
      <w:ins w:id="32" w:author="LaeYoung (LG Electronics)" w:date="2024-04-05T11:33:00Z">
        <w:r>
          <w:rPr>
            <w:rFonts w:hint="eastAsia"/>
            <w:lang w:eastAsia="ko-KR"/>
          </w:rPr>
          <w:t>performs step</w:t>
        </w:r>
      </w:ins>
      <w:ins w:id="33" w:author="LaeYoung (LG Electronics)" w:date="2024-04-05T11:34:00Z">
        <w:r>
          <w:rPr>
            <w:rFonts w:hint="eastAsia"/>
            <w:lang w:eastAsia="ko-KR"/>
          </w:rPr>
          <w:t>s</w:t>
        </w:r>
      </w:ins>
      <w:ins w:id="34" w:author="LaeYoung (LG Electronics)" w:date="2024-04-05T11:33:00Z">
        <w:r>
          <w:rPr>
            <w:rFonts w:hint="eastAsia"/>
            <w:lang w:eastAsia="ko-KR"/>
          </w:rPr>
          <w:t xml:space="preserve"> </w:t>
        </w:r>
      </w:ins>
      <w:ins w:id="35" w:author="LaeYoung (LG Electronics)" w:date="2024-04-05T11:34:00Z">
        <w:r>
          <w:rPr>
            <w:rFonts w:hint="eastAsia"/>
            <w:lang w:eastAsia="ko-KR"/>
          </w:rPr>
          <w:t>1 to 4.</w:t>
        </w:r>
      </w:ins>
    </w:p>
    <w:p w14:paraId="0E000CE9" w14:textId="2B1A5B59" w:rsidR="00BF55D0" w:rsidRDefault="00BF55D0" w:rsidP="003E3805">
      <w:pPr>
        <w:pStyle w:val="B2"/>
        <w:rPr>
          <w:ins w:id="36" w:author="LaeYoung (LG Electronics)" w:date="2024-04-04T18:54:00Z"/>
          <w:lang w:eastAsia="ko-KR"/>
        </w:rPr>
      </w:pPr>
      <w:ins w:id="37" w:author="LaeYoung (LG Electronics)" w:date="2024-04-05T11:35:00Z">
        <w:r>
          <w:rPr>
            <w:rFonts w:hint="eastAsia"/>
            <w:lang w:eastAsia="ko-KR"/>
          </w:rPr>
          <w:t>-</w:t>
        </w:r>
        <w:r>
          <w:rPr>
            <w:lang w:eastAsia="ko-KR"/>
          </w:rPr>
          <w:tab/>
        </w:r>
        <w:r>
          <w:rPr>
            <w:rFonts w:hint="eastAsia"/>
            <w:lang w:eastAsia="ko-KR"/>
          </w:rPr>
          <w:t xml:space="preserve">The </w:t>
        </w:r>
        <w:r>
          <w:t>MWAB-gNB</w:t>
        </w:r>
        <w:r>
          <w:rPr>
            <w:rFonts w:hint="eastAsia"/>
            <w:lang w:eastAsia="ko-KR"/>
          </w:rPr>
          <w:t xml:space="preserve"> </w:t>
        </w:r>
      </w:ins>
      <w:ins w:id="38" w:author="LaeYoung (LG Electronics)" w:date="2024-04-05T11:37:00Z">
        <w:r>
          <w:rPr>
            <w:rFonts w:hint="eastAsia"/>
            <w:lang w:eastAsia="ko-KR"/>
          </w:rPr>
          <w:t>performs step 2</w:t>
        </w:r>
      </w:ins>
      <w:ins w:id="39" w:author="LaeYoung (LG Electronics)" w:date="2024-04-05T11:39:00Z">
        <w:r w:rsidR="00671E10">
          <w:rPr>
            <w:rFonts w:hint="eastAsia"/>
            <w:lang w:eastAsia="ko-KR"/>
          </w:rPr>
          <w:t xml:space="preserve"> and</w:t>
        </w:r>
      </w:ins>
      <w:ins w:id="40" w:author="LaeYoung (LG Electronics)" w:date="2024-04-05T11:38:00Z">
        <w:r w:rsidR="00671E10">
          <w:rPr>
            <w:rFonts w:hint="eastAsia"/>
            <w:lang w:eastAsia="ko-KR"/>
          </w:rPr>
          <w:t xml:space="preserve"> step</w:t>
        </w:r>
      </w:ins>
      <w:ins w:id="41" w:author="LaeYoung (LG Electronics)" w:date="2024-04-05T11:39:00Z">
        <w:r w:rsidR="00671E10">
          <w:rPr>
            <w:rFonts w:hint="eastAsia"/>
            <w:lang w:eastAsia="ko-KR"/>
          </w:rPr>
          <w:t>s</w:t>
        </w:r>
      </w:ins>
      <w:ins w:id="42" w:author="LaeYoung (LG Electronics)" w:date="2024-04-05T11:38:00Z">
        <w:r w:rsidR="00671E10">
          <w:rPr>
            <w:rFonts w:hint="eastAsia"/>
            <w:lang w:eastAsia="ko-KR"/>
          </w:rPr>
          <w:t xml:space="preserve"> 5</w:t>
        </w:r>
        <w:r>
          <w:rPr>
            <w:rFonts w:hint="eastAsia"/>
            <w:lang w:eastAsia="ko-KR"/>
          </w:rPr>
          <w:t xml:space="preserve"> </w:t>
        </w:r>
      </w:ins>
      <w:ins w:id="43" w:author="LaeYoung (LG Electronics)" w:date="2024-04-05T11:39:00Z">
        <w:r w:rsidR="00671E10">
          <w:rPr>
            <w:rFonts w:hint="eastAsia"/>
            <w:lang w:eastAsia="ko-KR"/>
          </w:rPr>
          <w:t>to</w:t>
        </w:r>
      </w:ins>
      <w:ins w:id="44" w:author="LaeYoung (LG Electronics)" w:date="2024-04-05T11:38:00Z">
        <w:r>
          <w:rPr>
            <w:rFonts w:hint="eastAsia"/>
            <w:lang w:eastAsia="ko-KR"/>
          </w:rPr>
          <w:t xml:space="preserve"> 6</w:t>
        </w:r>
      </w:ins>
      <w:ins w:id="45" w:author="LaeYoung (LG Electronics)" w:date="2024-04-05T11:41:00Z">
        <w:r w:rsidR="00671E10">
          <w:rPr>
            <w:rFonts w:hint="eastAsia"/>
            <w:lang w:eastAsia="ko-KR"/>
          </w:rPr>
          <w:t xml:space="preserve"> in order to operate as a gNB for each PLMN </w:t>
        </w:r>
      </w:ins>
      <w:ins w:id="46" w:author="LaeYoung (LG Electronics)" w:date="2024-04-05T11:40:00Z">
        <w:r w:rsidR="00671E10">
          <w:t>it serves</w:t>
        </w:r>
      </w:ins>
      <w:ins w:id="47" w:author="LaeYoung (LG Electronics)" w:date="2024-04-05T11:42:00Z">
        <w:r w:rsidR="00671E10">
          <w:rPr>
            <w:rFonts w:hint="eastAsia"/>
            <w:lang w:eastAsia="ko-KR"/>
          </w:rPr>
          <w:t>.</w:t>
        </w:r>
      </w:ins>
    </w:p>
    <w:p w14:paraId="181621D9" w14:textId="6AE717DD" w:rsidR="00E243CD" w:rsidRDefault="00E243CD" w:rsidP="00E243CD">
      <w:pPr>
        <w:pStyle w:val="B1"/>
        <w:rPr>
          <w:ins w:id="48" w:author="LaeYoung (LG Electronics)" w:date="2024-04-05T11:45:00Z"/>
          <w:lang w:eastAsia="ko-KR"/>
        </w:rPr>
      </w:pPr>
      <w:ins w:id="49" w:author="LaeYoung (LG Electronics)" w:date="2024-04-04T18:54:00Z">
        <w:r>
          <w:rPr>
            <w:rFonts w:hint="eastAsia"/>
            <w:lang w:eastAsia="ko-KR"/>
          </w:rPr>
          <w:t>2)</w:t>
        </w:r>
      </w:ins>
      <w:ins w:id="50" w:author="LaeYoung (LG Electronics)" w:date="2024-04-04T18:55:00Z">
        <w:r>
          <w:rPr>
            <w:lang w:eastAsia="ko-KR"/>
          </w:rPr>
          <w:tab/>
        </w:r>
      </w:ins>
      <w:ins w:id="51" w:author="LaeYoung (LG Electronics)" w:date="2024-04-04T18:58:00Z">
        <w:r w:rsidR="00E54009">
          <w:rPr>
            <w:rFonts w:hint="eastAsia"/>
            <w:lang w:eastAsia="ko-KR"/>
          </w:rPr>
          <w:t xml:space="preserve">A </w:t>
        </w:r>
      </w:ins>
      <w:ins w:id="52" w:author="LaeYoung (LG Electronics)" w:date="2024-04-04T18:55:00Z">
        <w:r>
          <w:rPr>
            <w:rFonts w:hint="eastAsia"/>
            <w:lang w:eastAsia="ko-KR"/>
          </w:rPr>
          <w:t xml:space="preserve">MWAB </w:t>
        </w:r>
      </w:ins>
      <w:ins w:id="53" w:author="LaeYoung (LG Electronics)" w:date="2024-04-04T18:56:00Z">
        <w:r>
          <w:rPr>
            <w:rFonts w:hint="eastAsia"/>
            <w:lang w:eastAsia="ko-KR"/>
          </w:rPr>
          <w:t>contains s</w:t>
        </w:r>
      </w:ins>
      <w:ins w:id="54" w:author="LaeYoung (LG Electronics)" w:date="2024-04-04T18:54:00Z">
        <w:r>
          <w:rPr>
            <w:rFonts w:hint="eastAsia"/>
            <w:lang w:eastAsia="ko-KR"/>
          </w:rPr>
          <w:t>ingle MW</w:t>
        </w:r>
      </w:ins>
      <w:ins w:id="55" w:author="LaeYoung (LG Electronics)" w:date="2024-04-04T18:55:00Z">
        <w:r>
          <w:rPr>
            <w:rFonts w:hint="eastAsia"/>
            <w:lang w:eastAsia="ko-KR"/>
          </w:rPr>
          <w:t>AB-UE part for all PLMNs</w:t>
        </w:r>
      </w:ins>
      <w:ins w:id="56" w:author="LaeYoung (LG Electronics)" w:date="2024-04-05T11:51:00Z">
        <w:r w:rsidR="000C01AC" w:rsidRPr="000C01AC">
          <w:rPr>
            <w:rFonts w:hint="eastAsia"/>
            <w:lang w:eastAsia="ko-KR"/>
          </w:rPr>
          <w:t xml:space="preserve"> </w:t>
        </w:r>
        <w:r w:rsidR="000C01AC">
          <w:rPr>
            <w:rFonts w:hint="eastAsia"/>
            <w:lang w:eastAsia="ko-KR"/>
          </w:rPr>
          <w:t>sharing the MWAB-gNB</w:t>
        </w:r>
      </w:ins>
      <w:ins w:id="57" w:author="LaeYoung (LG Electronics)" w:date="2024-04-04T18:55:00Z">
        <w:r>
          <w:rPr>
            <w:rFonts w:hint="eastAsia"/>
            <w:lang w:eastAsia="ko-KR"/>
          </w:rPr>
          <w:t>.</w:t>
        </w:r>
      </w:ins>
      <w:ins w:id="58" w:author="LaeYoung (LG Electronics)" w:date="2024-04-05T11:51:00Z">
        <w:r w:rsidR="000C01AC">
          <w:rPr>
            <w:rFonts w:hint="eastAsia"/>
            <w:lang w:eastAsia="ko-KR"/>
          </w:rPr>
          <w:t xml:space="preserve"> It is assumed that this MWAB-UE subscribes to one of </w:t>
        </w:r>
      </w:ins>
      <w:ins w:id="59" w:author="LaeYoung (LG Electronics)" w:date="2024-04-05T11:52:00Z">
        <w:r w:rsidR="000C01AC">
          <w:rPr>
            <w:rFonts w:hint="eastAsia"/>
            <w:lang w:eastAsia="ko-KR"/>
          </w:rPr>
          <w:t xml:space="preserve">the </w:t>
        </w:r>
      </w:ins>
      <w:ins w:id="60" w:author="LaeYoung (LG Electronics)" w:date="2024-04-05T11:51:00Z">
        <w:r w:rsidR="000C01AC">
          <w:rPr>
            <w:rFonts w:hint="eastAsia"/>
            <w:lang w:eastAsia="ko-KR"/>
          </w:rPr>
          <w:t>PLMNs.</w:t>
        </w:r>
      </w:ins>
    </w:p>
    <w:p w14:paraId="64D0458D" w14:textId="49250155" w:rsidR="00F35682" w:rsidRDefault="00F35682" w:rsidP="00F641DF">
      <w:pPr>
        <w:pStyle w:val="B2"/>
        <w:rPr>
          <w:ins w:id="61" w:author="LaeYoung (LG Electronics)" w:date="2024-04-05T11:52:00Z"/>
          <w:lang w:eastAsia="ko-KR"/>
        </w:rPr>
      </w:pPr>
      <w:ins w:id="62" w:author="LaeYoung (LG Electronics)" w:date="2024-04-05T11:46:00Z">
        <w:r>
          <w:rPr>
            <w:rFonts w:hint="eastAsia"/>
            <w:lang w:eastAsia="ko-KR"/>
          </w:rPr>
          <w:t>-</w:t>
        </w:r>
        <w:r>
          <w:rPr>
            <w:lang w:eastAsia="ko-KR"/>
          </w:rPr>
          <w:tab/>
        </w:r>
        <w:r>
          <w:rPr>
            <w:rFonts w:hint="eastAsia"/>
            <w:lang w:eastAsia="ko-KR"/>
          </w:rPr>
          <w:t>The MWAB-UE</w:t>
        </w:r>
      </w:ins>
      <w:ins w:id="63" w:author="LaeYoung (LG Electronics)" w:date="2024-04-05T11:48:00Z">
        <w:r w:rsidR="00F641DF">
          <w:rPr>
            <w:rFonts w:hint="eastAsia"/>
            <w:lang w:eastAsia="ko-KR"/>
          </w:rPr>
          <w:t xml:space="preserve"> performs steps 1 to 4.</w:t>
        </w:r>
      </w:ins>
    </w:p>
    <w:p w14:paraId="766A619E" w14:textId="043F668D" w:rsidR="009D768E" w:rsidRPr="00E243CD" w:rsidRDefault="009D768E" w:rsidP="00F641DF">
      <w:pPr>
        <w:pStyle w:val="B2"/>
        <w:rPr>
          <w:ins w:id="64" w:author="LaeYoung (LG Electronics)" w:date="2024-04-04T18:38:00Z"/>
          <w:lang w:eastAsia="ko-KR"/>
        </w:rPr>
      </w:pPr>
      <w:ins w:id="65" w:author="LaeYoung (LG Electronics)" w:date="2024-04-05T11:52:00Z">
        <w:r>
          <w:rPr>
            <w:rFonts w:hint="eastAsia"/>
            <w:lang w:eastAsia="ko-KR"/>
          </w:rPr>
          <w:t>-</w:t>
        </w:r>
        <w:r>
          <w:rPr>
            <w:lang w:eastAsia="ko-KR"/>
          </w:rPr>
          <w:tab/>
        </w:r>
        <w:r>
          <w:rPr>
            <w:rFonts w:hint="eastAsia"/>
            <w:lang w:eastAsia="ko-KR"/>
          </w:rPr>
          <w:t xml:space="preserve">The </w:t>
        </w:r>
        <w:r>
          <w:t>MWAB-gNB</w:t>
        </w:r>
        <w:r>
          <w:rPr>
            <w:rFonts w:hint="eastAsia"/>
            <w:lang w:eastAsia="ko-KR"/>
          </w:rPr>
          <w:t xml:space="preserve"> performs step 2 and steps 5 to 6 in order to operate as a gNB for each PLMN </w:t>
        </w:r>
        <w:r>
          <w:t>it serves</w:t>
        </w:r>
        <w:r>
          <w:rPr>
            <w:rFonts w:hint="eastAsia"/>
            <w:lang w:eastAsia="ko-KR"/>
          </w:rPr>
          <w:t>.</w:t>
        </w:r>
      </w:ins>
    </w:p>
    <w:p w14:paraId="42936DFC" w14:textId="57D94909" w:rsidR="00087242" w:rsidRDefault="00087242" w:rsidP="00087242">
      <w:r>
        <w:t>The efficient mobility and service continuity support for UE when the serving MWAB moves (KI#4) will be addressed in a separate solution compatible with this solution.</w:t>
      </w:r>
    </w:p>
    <w:p w14:paraId="2CEF40F4" w14:textId="77777777" w:rsidR="00087242" w:rsidRPr="00612B8C" w:rsidRDefault="00087242" w:rsidP="00087242">
      <w:pPr>
        <w:pStyle w:val="30"/>
      </w:pPr>
      <w:bookmarkStart w:id="66" w:name="_Toc161218347"/>
      <w:r w:rsidRPr="00612B8C">
        <w:t>6.1.3</w:t>
      </w:r>
      <w:r w:rsidRPr="00612B8C">
        <w:tab/>
        <w:t>Procedures</w:t>
      </w:r>
      <w:bookmarkEnd w:id="6"/>
      <w:bookmarkEnd w:id="66"/>
    </w:p>
    <w:p w14:paraId="719B9366" w14:textId="77777777" w:rsidR="00087242" w:rsidRPr="00612B8C" w:rsidRDefault="00087242" w:rsidP="00087242">
      <w:pPr>
        <w:pStyle w:val="4"/>
      </w:pPr>
      <w:bookmarkStart w:id="67" w:name="_Toc161218348"/>
      <w:r w:rsidRPr="00612B8C">
        <w:t>6.1.3.1</w:t>
      </w:r>
      <w:r w:rsidRPr="00612B8C">
        <w:tab/>
        <w:t>MWAB-UE registration and authorization</w:t>
      </w:r>
      <w:bookmarkEnd w:id="67"/>
    </w:p>
    <w:p w14:paraId="7872AA2F" w14:textId="77777777" w:rsidR="00087242" w:rsidRDefault="00087242" w:rsidP="00087242">
      <w:r>
        <w:t>The MWAB-UE performs PLMN selection based on existing procedures in TS 23.122 [9].</w:t>
      </w:r>
    </w:p>
    <w:p w14:paraId="61F7D046" w14:textId="77777777" w:rsidR="00087242" w:rsidRDefault="00087242" w:rsidP="00087242">
      <w:r>
        <w:t>MWAB-UE also follows existing procedures in TS 23.501 [2], for network slice configuration. The serving PLMN access the HPLMN of the MWAB-UE for the subscription data.</w:t>
      </w:r>
    </w:p>
    <w:p w14:paraId="7AFDE95D" w14:textId="77777777" w:rsidR="00087242" w:rsidRDefault="00087242" w:rsidP="00087242">
      <w:r>
        <w:t>The MWAB-UE may be triggered by the MWAB-gNB to establish the PDU session(s) for MWAB operation. This can be based on an interface out of scope of SA2.</w:t>
      </w:r>
    </w:p>
    <w:p w14:paraId="79EE901D" w14:textId="77777777" w:rsidR="00087242" w:rsidRDefault="00087242" w:rsidP="00087242">
      <w:r>
        <w:t>The MWAB-UE uses Local Configuration or the URSP to identify the PDU session parameters to use, e.g. the S-NSSAI, DNN, and SSC modes derived from the Route Selection Descriptor.</w:t>
      </w:r>
    </w:p>
    <w:p w14:paraId="501BA823" w14:textId="77777777" w:rsidR="00087242" w:rsidRDefault="00087242" w:rsidP="00087242">
      <w:r>
        <w:t>There may be VPLMN specific URSP rules configured on the MWAB-UE, and in that case the PDU session parameters may be different in different VPLMNs.</w:t>
      </w:r>
    </w:p>
    <w:p w14:paraId="500E2D71" w14:textId="77777777" w:rsidR="00087242" w:rsidRDefault="00087242" w:rsidP="00087242">
      <w:r>
        <w:t>The requested S-NSSAI and DNN will be authorized based on the subscription of the MWAB based on existing procedures in TS 23.501 [2] and TS 23.502 [7].</w:t>
      </w:r>
    </w:p>
    <w:p w14:paraId="4AF22303" w14:textId="77777777" w:rsidR="00087242" w:rsidRDefault="00087242" w:rsidP="00087242">
      <w:r>
        <w:t>No procedure enhancement to those defined in TS 23.501 [2] and TS 23.502 [7] is necessary.</w:t>
      </w:r>
    </w:p>
    <w:p w14:paraId="4636178F" w14:textId="77777777" w:rsidR="00087242" w:rsidRDefault="00087242" w:rsidP="00087242">
      <w:pPr>
        <w:pStyle w:val="4"/>
      </w:pPr>
      <w:bookmarkStart w:id="68" w:name="_Toc161218349"/>
      <w:r>
        <w:rPr>
          <w:lang w:val="en-US"/>
        </w:rPr>
        <w:t>6.1.3.2</w:t>
      </w:r>
      <w:r>
        <w:rPr>
          <w:lang w:val="en-US"/>
        </w:rPr>
        <w:tab/>
        <w:t>Control of UE's access to MWAB</w:t>
      </w:r>
      <w:bookmarkEnd w:id="68"/>
    </w:p>
    <w:p w14:paraId="2432B140" w14:textId="77777777" w:rsidR="00087242" w:rsidRDefault="00087242" w:rsidP="00087242">
      <w:r>
        <w:t>Legacy UE can access the MWAB-gNB as a normal gNB.</w:t>
      </w:r>
    </w:p>
    <w:p w14:paraId="47C6B818" w14:textId="77777777" w:rsidR="00087242" w:rsidRDefault="00087242" w:rsidP="00087242">
      <w:pPr>
        <w:rPr>
          <w:ins w:id="69" w:author="LaeYoung (LG Electronics)" w:date="2024-04-04T17:09:00Z"/>
        </w:rPr>
      </w:pPr>
      <w:r>
        <w:t>For CAG capable UEs, the enhancement as described in clause 5.35A.7 of TS 23.501 [2] can be reused for control the access to the MWAB, if the MWAB is configured by OAM of PLMN 2 to broadcast CAGs.</w:t>
      </w:r>
    </w:p>
    <w:p w14:paraId="31A16186" w14:textId="4EA89E33" w:rsidR="000F100B" w:rsidRDefault="001B1671" w:rsidP="00087242">
      <w:pPr>
        <w:rPr>
          <w:lang w:eastAsia="ko-KR"/>
        </w:rPr>
      </w:pPr>
      <w:ins w:id="70" w:author="LaeYoung (LG Electronics)" w:date="2024-04-05T12:34:00Z">
        <w:r>
          <w:rPr>
            <w:rFonts w:hint="eastAsia"/>
            <w:lang w:eastAsia="ko-KR"/>
          </w:rPr>
          <w:t>For RRC_IDLE MWAB-UE, t</w:t>
        </w:r>
      </w:ins>
      <w:ins w:id="71" w:author="LaeYoung (LG Electronics)" w:date="2024-04-04T17:09:00Z">
        <w:r w:rsidR="000F100B">
          <w:rPr>
            <w:rFonts w:hint="eastAsia"/>
            <w:lang w:eastAsia="ko-KR"/>
          </w:rPr>
          <w:t xml:space="preserve">he MWAB-UE can </w:t>
        </w:r>
      </w:ins>
      <w:ins w:id="72" w:author="LaeYoung (LG Electronics)" w:date="2024-04-04T17:10:00Z">
        <w:r w:rsidR="000F100B">
          <w:rPr>
            <w:rFonts w:hint="eastAsia"/>
            <w:lang w:eastAsia="ko-KR"/>
          </w:rPr>
          <w:t>obta</w:t>
        </w:r>
      </w:ins>
      <w:ins w:id="73" w:author="LaeYoung (LG Electronics)" w:date="2024-04-04T17:11:00Z">
        <w:r w:rsidR="000F100B">
          <w:rPr>
            <w:rFonts w:hint="eastAsia"/>
            <w:lang w:eastAsia="ko-KR"/>
          </w:rPr>
          <w:t>in the parameters for MWAB operation</w:t>
        </w:r>
      </w:ins>
      <w:ins w:id="74" w:author="LaeYoung (LG Electronics)" w:date="2024-04-05T12:17:00Z">
        <w:r w:rsidR="00A7490C">
          <w:rPr>
            <w:rFonts w:hint="eastAsia"/>
            <w:lang w:eastAsia="ko-KR"/>
          </w:rPr>
          <w:t>, e.g.</w:t>
        </w:r>
      </w:ins>
      <w:ins w:id="75" w:author="LaeYoung (LG Electronics)" w:date="2024-04-04T17:11:00Z">
        <w:r w:rsidR="000F100B">
          <w:rPr>
            <w:rFonts w:hint="eastAsia"/>
            <w:lang w:eastAsia="ko-KR"/>
          </w:rPr>
          <w:t xml:space="preserve"> </w:t>
        </w:r>
      </w:ins>
      <w:ins w:id="76" w:author="LaeYoung (LG Electronics)" w:date="2024-04-05T12:17:00Z">
        <w:r w:rsidR="00A7490C">
          <w:rPr>
            <w:rFonts w:hint="eastAsia"/>
            <w:lang w:eastAsia="ko-KR"/>
          </w:rPr>
          <w:t>cell ID,</w:t>
        </w:r>
      </w:ins>
      <w:ins w:id="77" w:author="LaeYoung (LG Electronics)" w:date="2024-04-04T17:11:00Z">
        <w:r w:rsidR="000F100B">
          <w:rPr>
            <w:rFonts w:hint="eastAsia"/>
            <w:lang w:eastAsia="ko-KR"/>
          </w:rPr>
          <w:t xml:space="preserve"> CAG IDs from the MWAB-gNB</w:t>
        </w:r>
      </w:ins>
      <w:ins w:id="78" w:author="LaeYoung (LG Electronics)" w:date="2024-04-04T17:12:00Z">
        <w:r w:rsidR="000F100B">
          <w:rPr>
            <w:rFonts w:hint="eastAsia"/>
            <w:lang w:eastAsia="ko-KR"/>
          </w:rPr>
          <w:t xml:space="preserve"> </w:t>
        </w:r>
      </w:ins>
      <w:ins w:id="79" w:author="LaeYoung (LG Electronics)" w:date="2024-04-04T17:15:00Z">
        <w:r w:rsidR="000F100B">
          <w:rPr>
            <w:rFonts w:hint="eastAsia"/>
            <w:lang w:eastAsia="ko-KR"/>
          </w:rPr>
          <w:t xml:space="preserve">belonging to same MWAB </w:t>
        </w:r>
      </w:ins>
      <w:ins w:id="80" w:author="LaeYoung (LG Electronics)" w:date="2024-04-04T17:16:00Z">
        <w:r w:rsidR="000F100B">
          <w:t xml:space="preserve">based on </w:t>
        </w:r>
        <w:r w:rsidR="000F100B">
          <w:rPr>
            <w:rFonts w:hint="eastAsia"/>
            <w:lang w:eastAsia="ko-KR"/>
          </w:rPr>
          <w:t>the</w:t>
        </w:r>
        <w:r w:rsidR="000F100B">
          <w:t xml:space="preserve"> interface </w:t>
        </w:r>
        <w:r w:rsidR="000F100B">
          <w:rPr>
            <w:rFonts w:hint="eastAsia"/>
            <w:lang w:eastAsia="ko-KR"/>
          </w:rPr>
          <w:t>with it that</w:t>
        </w:r>
      </w:ins>
      <w:ins w:id="81" w:author="LaeYoung (LG Electronics)" w:date="2024-04-04T17:17:00Z">
        <w:r w:rsidR="000F100B">
          <w:rPr>
            <w:rFonts w:hint="eastAsia"/>
            <w:lang w:eastAsia="ko-KR"/>
          </w:rPr>
          <w:t xml:space="preserve"> is </w:t>
        </w:r>
      </w:ins>
      <w:ins w:id="82" w:author="LaeYoung (LG Electronics)" w:date="2024-04-04T17:16:00Z">
        <w:r w:rsidR="000F100B">
          <w:t>out of scope of SA2</w:t>
        </w:r>
      </w:ins>
      <w:ins w:id="83" w:author="LaeYoung (LG Electronics)" w:date="2024-04-04T17:17:00Z">
        <w:r w:rsidR="000F100B">
          <w:rPr>
            <w:rFonts w:hint="eastAsia"/>
            <w:lang w:eastAsia="ko-KR"/>
          </w:rPr>
          <w:t>. Therefore,</w:t>
        </w:r>
      </w:ins>
      <w:ins w:id="84" w:author="LaeYoung (LG Electronics)" w:date="2024-04-04T17:12:00Z">
        <w:r w:rsidR="000F100B">
          <w:rPr>
            <w:rFonts w:hint="eastAsia"/>
            <w:lang w:eastAsia="ko-KR"/>
          </w:rPr>
          <w:t xml:space="preserve"> the MWAB-UE does not select</w:t>
        </w:r>
      </w:ins>
      <w:ins w:id="85" w:author="LaeYoung (LG Electronics)" w:date="2024-04-04T17:13:00Z">
        <w:r w:rsidR="000F100B">
          <w:rPr>
            <w:rFonts w:hint="eastAsia"/>
            <w:lang w:eastAsia="ko-KR"/>
          </w:rPr>
          <w:t xml:space="preserve"> the MWAB-gNB belonging to same MWAB.</w:t>
        </w:r>
      </w:ins>
      <w:ins w:id="86" w:author="LaeYoung (LG Electronics)" w:date="2024-04-04T17:23:00Z">
        <w:r w:rsidR="00822A48">
          <w:rPr>
            <w:rFonts w:hint="eastAsia"/>
            <w:lang w:eastAsia="ko-KR"/>
          </w:rPr>
          <w:t xml:space="preserve"> </w:t>
        </w:r>
      </w:ins>
      <w:ins w:id="87" w:author="LaeYoung (LG Electronics)" w:date="2024-04-05T12:34:00Z">
        <w:r>
          <w:rPr>
            <w:rFonts w:hint="eastAsia"/>
            <w:lang w:eastAsia="ko-KR"/>
          </w:rPr>
          <w:t>For RRC_CONNECTED MWAB-UE, h</w:t>
        </w:r>
      </w:ins>
      <w:ins w:id="88" w:author="LaeYoung (LG Electronics)" w:date="2024-04-04T17:23:00Z">
        <w:r w:rsidR="00822A48">
          <w:rPr>
            <w:rFonts w:eastAsia="MS Mincho"/>
          </w:rPr>
          <w:t xml:space="preserve">ow to </w:t>
        </w:r>
      </w:ins>
      <w:ins w:id="89" w:author="LaeYoung (LG Electronics)" w:date="2024-04-04T17:25:00Z">
        <w:r w:rsidR="00822A48">
          <w:rPr>
            <w:rFonts w:eastAsiaTheme="minorEastAsia" w:hint="eastAsia"/>
            <w:lang w:eastAsia="ko-KR"/>
          </w:rPr>
          <w:t xml:space="preserve">prevent the MWAB-UE </w:t>
        </w:r>
      </w:ins>
      <w:ins w:id="90" w:author="LaeYoung (LG Electronics)" w:date="2024-04-05T12:36:00Z">
        <w:r w:rsidR="00A70FB8">
          <w:rPr>
            <w:rFonts w:eastAsiaTheme="minorEastAsia" w:hint="eastAsia"/>
            <w:lang w:eastAsia="ko-KR"/>
          </w:rPr>
          <w:t>connecting/hand-over to</w:t>
        </w:r>
      </w:ins>
      <w:ins w:id="91" w:author="LaeYoung (LG Electronics)" w:date="2024-04-04T17:25:00Z">
        <w:r w:rsidR="00822A48">
          <w:rPr>
            <w:rFonts w:eastAsiaTheme="minorEastAsia" w:hint="eastAsia"/>
            <w:lang w:eastAsia="ko-KR"/>
          </w:rPr>
          <w:t xml:space="preserve"> </w:t>
        </w:r>
      </w:ins>
      <w:ins w:id="92" w:author="LaeYoung (LG Electronics)" w:date="2024-04-05T12:34:00Z">
        <w:r>
          <w:rPr>
            <w:rFonts w:eastAsiaTheme="minorEastAsia" w:hint="eastAsia"/>
            <w:lang w:eastAsia="ko-KR"/>
          </w:rPr>
          <w:t>its MWAB-g</w:t>
        </w:r>
      </w:ins>
      <w:ins w:id="93" w:author="LaeYoung (LG Electronics)" w:date="2024-04-05T12:35:00Z">
        <w:r>
          <w:rPr>
            <w:rFonts w:eastAsiaTheme="minorEastAsia" w:hint="eastAsia"/>
            <w:lang w:eastAsia="ko-KR"/>
          </w:rPr>
          <w:t xml:space="preserve">NB as well as </w:t>
        </w:r>
      </w:ins>
      <w:ins w:id="94" w:author="LaeYoung (LG Electronics)" w:date="2024-04-04T17:25:00Z">
        <w:r w:rsidR="00822A48">
          <w:rPr>
            <w:rFonts w:eastAsiaTheme="minorEastAsia" w:hint="eastAsia"/>
            <w:lang w:eastAsia="ko-KR"/>
          </w:rPr>
          <w:t xml:space="preserve">other MWAB-gNB cell (i.e. </w:t>
        </w:r>
      </w:ins>
      <w:ins w:id="95" w:author="LaeYoung (LG Electronics)" w:date="2024-04-04T17:23:00Z">
        <w:r w:rsidR="00822A48">
          <w:rPr>
            <w:rFonts w:eastAsia="MS Mincho"/>
          </w:rPr>
          <w:t>avoi</w:t>
        </w:r>
      </w:ins>
      <w:ins w:id="96" w:author="LaeYoung (LG Electronics)" w:date="2024-04-04T17:25:00Z">
        <w:r w:rsidR="00822A48">
          <w:rPr>
            <w:rFonts w:eastAsiaTheme="minorEastAsia" w:hint="eastAsia"/>
            <w:lang w:eastAsia="ko-KR"/>
          </w:rPr>
          <w:t>ding</w:t>
        </w:r>
      </w:ins>
      <w:ins w:id="97" w:author="LaeYoung (LG Electronics)" w:date="2024-04-04T17:23:00Z">
        <w:r w:rsidR="00822A48">
          <w:rPr>
            <w:rFonts w:eastAsia="MS Mincho"/>
          </w:rPr>
          <w:t xml:space="preserve"> multi-hop</w:t>
        </w:r>
      </w:ins>
      <w:ins w:id="98" w:author="LaeYoung (LG Electronics)" w:date="2024-04-04T17:26:00Z">
        <w:r w:rsidR="00822A48">
          <w:rPr>
            <w:rFonts w:eastAsiaTheme="minorEastAsia" w:hint="eastAsia"/>
            <w:lang w:eastAsia="ko-KR"/>
          </w:rPr>
          <w:t xml:space="preserve">) is </w:t>
        </w:r>
        <w:r w:rsidR="00822A48">
          <w:t>addressed by other solutions</w:t>
        </w:r>
        <w:r w:rsidR="00822A48">
          <w:rPr>
            <w:rFonts w:hint="eastAsia"/>
            <w:lang w:eastAsia="ko-KR"/>
          </w:rPr>
          <w:t xml:space="preserve">, e.g. </w:t>
        </w:r>
      </w:ins>
      <w:ins w:id="99" w:author="LaeYoung (LG Electronics)" w:date="2024-04-04T17:27:00Z">
        <w:r w:rsidR="00822A48">
          <w:rPr>
            <w:rFonts w:hint="eastAsia"/>
            <w:lang w:eastAsia="ko-KR"/>
          </w:rPr>
          <w:t>Solution#2.</w:t>
        </w:r>
      </w:ins>
    </w:p>
    <w:p w14:paraId="2D915460" w14:textId="710A9B1E" w:rsidR="00087242" w:rsidRPr="00087242" w:rsidRDefault="00087242" w:rsidP="00087242">
      <w:pPr>
        <w:pStyle w:val="EditorsNote"/>
        <w:ind w:left="1559" w:hanging="1276"/>
        <w:rPr>
          <w:rFonts w:eastAsiaTheme="minorEastAsia"/>
          <w:lang w:eastAsia="en-GB"/>
        </w:rPr>
      </w:pPr>
      <w:del w:id="100" w:author="LaeYoung (LG Electronics)" w:date="2024-04-04T17:29:00Z">
        <w:r w:rsidRPr="00087242" w:rsidDel="00F94F2F">
          <w:rPr>
            <w:rFonts w:eastAsiaTheme="minorEastAsia"/>
            <w:lang w:eastAsia="en-GB"/>
          </w:rPr>
          <w:lastRenderedPageBreak/>
          <w:delText>Editor's note:</w:delText>
        </w:r>
        <w:r w:rsidRPr="00087242" w:rsidDel="00F94F2F">
          <w:rPr>
            <w:rFonts w:eastAsiaTheme="minorEastAsia"/>
            <w:lang w:eastAsia="en-GB"/>
          </w:rPr>
          <w:tab/>
          <w:delText>It is FFS whether enhancements is needed to prevent the MWAB-UE from selecting the MWAB-gNB cell (including the case of MWAB-UE and MWAB-gNB belonging to same MWAB).</w:delText>
        </w:r>
      </w:del>
    </w:p>
    <w:p w14:paraId="3B5EB0AE" w14:textId="77777777" w:rsidR="00087242" w:rsidRDefault="00087242" w:rsidP="00087242">
      <w:pPr>
        <w:pStyle w:val="4"/>
        <w:rPr>
          <w:lang w:val="en-US"/>
        </w:rPr>
      </w:pPr>
      <w:bookmarkStart w:id="101" w:name="_Toc161218350"/>
      <w:r>
        <w:rPr>
          <w:lang w:val="en-US"/>
        </w:rPr>
        <w:t>6.1.3.3</w:t>
      </w:r>
      <w:r>
        <w:rPr>
          <w:lang w:val="en-US"/>
        </w:rPr>
        <w:tab/>
        <w:t>Support of Location Service for UEs when MWAB(s) is involved</w:t>
      </w:r>
      <w:bookmarkEnd w:id="101"/>
    </w:p>
    <w:p w14:paraId="3AACD9D4" w14:textId="77777777" w:rsidR="00087242" w:rsidRDefault="00087242" w:rsidP="00087242">
      <w:r>
        <w:t>A separate solution compatible with the architecture introduced in this solution will be used to support the Location Service, based on the principles defined in clause 5.35A.5 of TS 23.501 [2].</w:t>
      </w:r>
    </w:p>
    <w:p w14:paraId="142D72F5" w14:textId="77777777" w:rsidR="00087242" w:rsidRPr="00087242" w:rsidRDefault="00087242" w:rsidP="00087242">
      <w:pPr>
        <w:pStyle w:val="EditorsNote"/>
        <w:ind w:left="1559" w:hanging="1276"/>
        <w:rPr>
          <w:rFonts w:eastAsiaTheme="minorEastAsia"/>
          <w:lang w:eastAsia="en-GB"/>
        </w:rPr>
      </w:pPr>
      <w:r w:rsidRPr="00087242">
        <w:rPr>
          <w:rFonts w:eastAsiaTheme="minorEastAsia"/>
          <w:lang w:eastAsia="en-GB"/>
        </w:rPr>
        <w:t>Editor's note:</w:t>
      </w:r>
      <w:r w:rsidRPr="00087242">
        <w:rPr>
          <w:rFonts w:eastAsiaTheme="minorEastAsia"/>
          <w:lang w:eastAsia="en-GB"/>
        </w:rPr>
        <w:tab/>
        <w:t>It is FFS if further enhancements is needed to use the NRPPa procedures with MWAB in the roaming cases.</w:t>
      </w:r>
    </w:p>
    <w:p w14:paraId="2E9FEBC9" w14:textId="77777777" w:rsidR="00087242" w:rsidRPr="00612B8C" w:rsidRDefault="00087242" w:rsidP="00087242">
      <w:pPr>
        <w:pStyle w:val="4"/>
      </w:pPr>
      <w:bookmarkStart w:id="102" w:name="_Toc161218351"/>
      <w:r w:rsidRPr="00612B8C">
        <w:t>6.1.3.4</w:t>
      </w:r>
      <w:r w:rsidRPr="00612B8C">
        <w:tab/>
        <w:t>UE mobility to and from a MWAB cell</w:t>
      </w:r>
      <w:bookmarkEnd w:id="102"/>
    </w:p>
    <w:p w14:paraId="48253C23" w14:textId="77777777" w:rsidR="00087242" w:rsidRPr="00612B8C" w:rsidRDefault="00087242" w:rsidP="00087242">
      <w:r>
        <w:t>Existing UE mobility procedure can be reused. No enhancement is required, based on the same considerations as described in clauses 5.35A.3.1 and 5.35A.3.2 of TS 23.501 [2].</w:t>
      </w:r>
    </w:p>
    <w:p w14:paraId="5780D471" w14:textId="77777777" w:rsidR="00087242" w:rsidRPr="00612B8C" w:rsidRDefault="00087242" w:rsidP="00087242">
      <w:pPr>
        <w:pStyle w:val="30"/>
      </w:pPr>
      <w:bookmarkStart w:id="103" w:name="_Toc157515664"/>
      <w:bookmarkStart w:id="104" w:name="_Toc161218352"/>
      <w:r w:rsidRPr="00612B8C">
        <w:t>6.1.4</w:t>
      </w:r>
      <w:r w:rsidRPr="00612B8C">
        <w:tab/>
        <w:t>Impacts on services, entities, and interfaces</w:t>
      </w:r>
      <w:bookmarkEnd w:id="103"/>
      <w:bookmarkEnd w:id="104"/>
    </w:p>
    <w:p w14:paraId="0462E911" w14:textId="77777777" w:rsidR="00087242" w:rsidRPr="00612B8C" w:rsidRDefault="00087242" w:rsidP="00087242">
      <w:r w:rsidRPr="00612B8C">
        <w:t>None.</w:t>
      </w:r>
    </w:p>
    <w:p w14:paraId="644F0DBF" w14:textId="6193E7DF" w:rsidR="00357B2A" w:rsidRPr="00087242" w:rsidRDefault="00087242" w:rsidP="00087242">
      <w:pPr>
        <w:pStyle w:val="EditorsNote"/>
        <w:ind w:left="1559" w:hanging="1276"/>
        <w:rPr>
          <w:rFonts w:eastAsiaTheme="minorEastAsia"/>
          <w:lang w:eastAsia="en-GB"/>
        </w:rPr>
      </w:pPr>
      <w:r w:rsidRPr="00087242">
        <w:rPr>
          <w:rFonts w:eastAsiaTheme="minorEastAsia"/>
          <w:lang w:eastAsia="en-GB"/>
        </w:rPr>
        <w:t>Editor's note:</w:t>
      </w:r>
      <w:r w:rsidRPr="00087242">
        <w:rPr>
          <w:rFonts w:eastAsiaTheme="minorEastAsia"/>
          <w:lang w:eastAsia="en-GB"/>
        </w:rPr>
        <w:tab/>
        <w:t>Related procedures can be eventually documented in an informative annex of TS 23.501 [2].</w:t>
      </w:r>
    </w:p>
    <w:p w14:paraId="6FFCF44E" w14:textId="77777777" w:rsidR="001B289C" w:rsidRDefault="001B289C" w:rsidP="00DE1C64">
      <w:pPr>
        <w:rPr>
          <w:lang w:eastAsia="ko-KR"/>
        </w:rPr>
      </w:pPr>
    </w:p>
    <w:p w14:paraId="5796E1B8" w14:textId="77777777" w:rsidR="0009503B" w:rsidRPr="00DE1C64" w:rsidRDefault="0009503B" w:rsidP="00DE1C64">
      <w:pPr>
        <w:rPr>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70DC6" w14:textId="77777777" w:rsidR="00E775A6" w:rsidRDefault="00E775A6">
      <w:r>
        <w:separator/>
      </w:r>
    </w:p>
    <w:p w14:paraId="177823DF" w14:textId="77777777" w:rsidR="00E775A6" w:rsidRDefault="00E775A6"/>
  </w:endnote>
  <w:endnote w:type="continuationSeparator" w:id="0">
    <w:p w14:paraId="12D1C7CE" w14:textId="77777777" w:rsidR="00E775A6" w:rsidRDefault="00E775A6">
      <w:r>
        <w:continuationSeparator/>
      </w:r>
    </w:p>
    <w:p w14:paraId="14EAE4CF" w14:textId="77777777" w:rsidR="00E775A6" w:rsidRDefault="00E775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55ABD" w14:textId="77777777" w:rsidR="00E775A6" w:rsidRDefault="00E775A6">
      <w:r>
        <w:separator/>
      </w:r>
    </w:p>
    <w:p w14:paraId="0776C2EE" w14:textId="77777777" w:rsidR="00E775A6" w:rsidRDefault="00E775A6"/>
  </w:footnote>
  <w:footnote w:type="continuationSeparator" w:id="0">
    <w:p w14:paraId="70B5879B" w14:textId="77777777" w:rsidR="00E775A6" w:rsidRDefault="00E775A6">
      <w:r>
        <w:continuationSeparator/>
      </w:r>
    </w:p>
    <w:p w14:paraId="7F20498E" w14:textId="77777777" w:rsidR="00E775A6" w:rsidRDefault="00E775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0B210DC0"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2E1F8AEA"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6"/>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7"/>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FC5"/>
    <w:rsid w:val="000119FD"/>
    <w:rsid w:val="00012A87"/>
    <w:rsid w:val="000144DA"/>
    <w:rsid w:val="00014996"/>
    <w:rsid w:val="00020A85"/>
    <w:rsid w:val="0002446E"/>
    <w:rsid w:val="000326A3"/>
    <w:rsid w:val="0003666B"/>
    <w:rsid w:val="00036EBB"/>
    <w:rsid w:val="000371CD"/>
    <w:rsid w:val="00037F83"/>
    <w:rsid w:val="0004014A"/>
    <w:rsid w:val="00040A6E"/>
    <w:rsid w:val="000414E7"/>
    <w:rsid w:val="00044E71"/>
    <w:rsid w:val="000520D8"/>
    <w:rsid w:val="0006310D"/>
    <w:rsid w:val="00071905"/>
    <w:rsid w:val="00071F02"/>
    <w:rsid w:val="00072E51"/>
    <w:rsid w:val="00077828"/>
    <w:rsid w:val="00086B19"/>
    <w:rsid w:val="00087242"/>
    <w:rsid w:val="00087551"/>
    <w:rsid w:val="00093D24"/>
    <w:rsid w:val="0009503B"/>
    <w:rsid w:val="000A087F"/>
    <w:rsid w:val="000A0C49"/>
    <w:rsid w:val="000A25ED"/>
    <w:rsid w:val="000B3596"/>
    <w:rsid w:val="000B47F0"/>
    <w:rsid w:val="000C01AC"/>
    <w:rsid w:val="000C0FDB"/>
    <w:rsid w:val="000C1E87"/>
    <w:rsid w:val="000C28BC"/>
    <w:rsid w:val="000D043D"/>
    <w:rsid w:val="000D0B99"/>
    <w:rsid w:val="000D2447"/>
    <w:rsid w:val="000D2514"/>
    <w:rsid w:val="000D28F2"/>
    <w:rsid w:val="000E0E0A"/>
    <w:rsid w:val="000F0D07"/>
    <w:rsid w:val="000F100B"/>
    <w:rsid w:val="000F3265"/>
    <w:rsid w:val="000F4F60"/>
    <w:rsid w:val="00105813"/>
    <w:rsid w:val="00106BF7"/>
    <w:rsid w:val="00114489"/>
    <w:rsid w:val="001166DC"/>
    <w:rsid w:val="00116C6E"/>
    <w:rsid w:val="001231CA"/>
    <w:rsid w:val="0012374A"/>
    <w:rsid w:val="0013739A"/>
    <w:rsid w:val="00137ED1"/>
    <w:rsid w:val="00141D06"/>
    <w:rsid w:val="001508D9"/>
    <w:rsid w:val="001526D8"/>
    <w:rsid w:val="00154413"/>
    <w:rsid w:val="0016314B"/>
    <w:rsid w:val="00165D7A"/>
    <w:rsid w:val="0017350A"/>
    <w:rsid w:val="00173FB7"/>
    <w:rsid w:val="001777D6"/>
    <w:rsid w:val="00180FC4"/>
    <w:rsid w:val="00186804"/>
    <w:rsid w:val="00187D24"/>
    <w:rsid w:val="00187F27"/>
    <w:rsid w:val="0019062C"/>
    <w:rsid w:val="001914CE"/>
    <w:rsid w:val="00191BAA"/>
    <w:rsid w:val="00192F72"/>
    <w:rsid w:val="00195AFE"/>
    <w:rsid w:val="001A10FC"/>
    <w:rsid w:val="001A298B"/>
    <w:rsid w:val="001A3044"/>
    <w:rsid w:val="001B0441"/>
    <w:rsid w:val="001B1671"/>
    <w:rsid w:val="001B289C"/>
    <w:rsid w:val="001B587E"/>
    <w:rsid w:val="001B6BB1"/>
    <w:rsid w:val="001C1877"/>
    <w:rsid w:val="001C35CD"/>
    <w:rsid w:val="001C4110"/>
    <w:rsid w:val="001D0448"/>
    <w:rsid w:val="001D0B4B"/>
    <w:rsid w:val="001D0DAE"/>
    <w:rsid w:val="001D383B"/>
    <w:rsid w:val="001D421B"/>
    <w:rsid w:val="001E04D8"/>
    <w:rsid w:val="001E690F"/>
    <w:rsid w:val="001F23E0"/>
    <w:rsid w:val="001F75C0"/>
    <w:rsid w:val="002001AB"/>
    <w:rsid w:val="00200D80"/>
    <w:rsid w:val="00201C95"/>
    <w:rsid w:val="002039CC"/>
    <w:rsid w:val="002057B3"/>
    <w:rsid w:val="0020799E"/>
    <w:rsid w:val="00213AC4"/>
    <w:rsid w:val="002149B4"/>
    <w:rsid w:val="00217607"/>
    <w:rsid w:val="002214B9"/>
    <w:rsid w:val="00222915"/>
    <w:rsid w:val="00226EDD"/>
    <w:rsid w:val="00227998"/>
    <w:rsid w:val="00227D52"/>
    <w:rsid w:val="00237255"/>
    <w:rsid w:val="002452AE"/>
    <w:rsid w:val="0024532F"/>
    <w:rsid w:val="00246F02"/>
    <w:rsid w:val="0024717C"/>
    <w:rsid w:val="00251CAE"/>
    <w:rsid w:val="00255E05"/>
    <w:rsid w:val="00257034"/>
    <w:rsid w:val="00270A47"/>
    <w:rsid w:val="00274CEA"/>
    <w:rsid w:val="0027748D"/>
    <w:rsid w:val="002934D6"/>
    <w:rsid w:val="002A0B8E"/>
    <w:rsid w:val="002A3B06"/>
    <w:rsid w:val="002A7A68"/>
    <w:rsid w:val="002B5B0A"/>
    <w:rsid w:val="002B71D2"/>
    <w:rsid w:val="002C4563"/>
    <w:rsid w:val="002C7B6A"/>
    <w:rsid w:val="002D60F2"/>
    <w:rsid w:val="002E253B"/>
    <w:rsid w:val="002E2AC0"/>
    <w:rsid w:val="002E3413"/>
    <w:rsid w:val="002E3D28"/>
    <w:rsid w:val="002E4F69"/>
    <w:rsid w:val="002E643F"/>
    <w:rsid w:val="002F02C4"/>
    <w:rsid w:val="002F308F"/>
    <w:rsid w:val="002F4353"/>
    <w:rsid w:val="002F495F"/>
    <w:rsid w:val="002F615B"/>
    <w:rsid w:val="002F6609"/>
    <w:rsid w:val="00300808"/>
    <w:rsid w:val="003048A9"/>
    <w:rsid w:val="00305462"/>
    <w:rsid w:val="003117D5"/>
    <w:rsid w:val="00312667"/>
    <w:rsid w:val="00313C25"/>
    <w:rsid w:val="00322651"/>
    <w:rsid w:val="00331355"/>
    <w:rsid w:val="00332B90"/>
    <w:rsid w:val="003357ED"/>
    <w:rsid w:val="00340C2B"/>
    <w:rsid w:val="003456B5"/>
    <w:rsid w:val="00345A2E"/>
    <w:rsid w:val="003525C9"/>
    <w:rsid w:val="00357B2A"/>
    <w:rsid w:val="003604F9"/>
    <w:rsid w:val="003622FF"/>
    <w:rsid w:val="00362A22"/>
    <w:rsid w:val="00364DB5"/>
    <w:rsid w:val="00367D6B"/>
    <w:rsid w:val="003765E3"/>
    <w:rsid w:val="00377777"/>
    <w:rsid w:val="003801BA"/>
    <w:rsid w:val="003819DC"/>
    <w:rsid w:val="00384DA9"/>
    <w:rsid w:val="00385B37"/>
    <w:rsid w:val="00386AF5"/>
    <w:rsid w:val="003873DD"/>
    <w:rsid w:val="0039181F"/>
    <w:rsid w:val="003A46F0"/>
    <w:rsid w:val="003A6A46"/>
    <w:rsid w:val="003B2937"/>
    <w:rsid w:val="003D128E"/>
    <w:rsid w:val="003D187F"/>
    <w:rsid w:val="003E3805"/>
    <w:rsid w:val="003E52FA"/>
    <w:rsid w:val="003E5F50"/>
    <w:rsid w:val="003F0404"/>
    <w:rsid w:val="003F7ACF"/>
    <w:rsid w:val="00400AD6"/>
    <w:rsid w:val="00405221"/>
    <w:rsid w:val="0040624D"/>
    <w:rsid w:val="004070AC"/>
    <w:rsid w:val="00414ABF"/>
    <w:rsid w:val="00415924"/>
    <w:rsid w:val="00421314"/>
    <w:rsid w:val="004258BC"/>
    <w:rsid w:val="00426617"/>
    <w:rsid w:val="0042735F"/>
    <w:rsid w:val="00430B13"/>
    <w:rsid w:val="004340D1"/>
    <w:rsid w:val="00437812"/>
    <w:rsid w:val="00441F44"/>
    <w:rsid w:val="00445A8B"/>
    <w:rsid w:val="0044699D"/>
    <w:rsid w:val="00454D7B"/>
    <w:rsid w:val="00460F8B"/>
    <w:rsid w:val="00464FFA"/>
    <w:rsid w:val="00465E82"/>
    <w:rsid w:val="004715AA"/>
    <w:rsid w:val="00483996"/>
    <w:rsid w:val="00483B16"/>
    <w:rsid w:val="00491DC3"/>
    <w:rsid w:val="004B0432"/>
    <w:rsid w:val="004C2191"/>
    <w:rsid w:val="004C7252"/>
    <w:rsid w:val="004D338F"/>
    <w:rsid w:val="004E0093"/>
    <w:rsid w:val="004E0B14"/>
    <w:rsid w:val="004E22A2"/>
    <w:rsid w:val="004E305A"/>
    <w:rsid w:val="004E69C3"/>
    <w:rsid w:val="004F04EC"/>
    <w:rsid w:val="004F29C3"/>
    <w:rsid w:val="004F3DA8"/>
    <w:rsid w:val="004F660F"/>
    <w:rsid w:val="00500A9C"/>
    <w:rsid w:val="00502F72"/>
    <w:rsid w:val="00511EA6"/>
    <w:rsid w:val="00513D75"/>
    <w:rsid w:val="00514E40"/>
    <w:rsid w:val="00515676"/>
    <w:rsid w:val="0052642A"/>
    <w:rsid w:val="00526EC3"/>
    <w:rsid w:val="00527A49"/>
    <w:rsid w:val="0053516F"/>
    <w:rsid w:val="00543D75"/>
    <w:rsid w:val="005458F5"/>
    <w:rsid w:val="00546798"/>
    <w:rsid w:val="00547C3C"/>
    <w:rsid w:val="0055526E"/>
    <w:rsid w:val="0055649C"/>
    <w:rsid w:val="00557B9A"/>
    <w:rsid w:val="00567CE6"/>
    <w:rsid w:val="005715FA"/>
    <w:rsid w:val="00571AB8"/>
    <w:rsid w:val="005720F9"/>
    <w:rsid w:val="00584810"/>
    <w:rsid w:val="00585D7A"/>
    <w:rsid w:val="00590E3F"/>
    <w:rsid w:val="005973CE"/>
    <w:rsid w:val="005A0FBA"/>
    <w:rsid w:val="005A4C96"/>
    <w:rsid w:val="005B1F73"/>
    <w:rsid w:val="005B321B"/>
    <w:rsid w:val="005B637B"/>
    <w:rsid w:val="005B6A2D"/>
    <w:rsid w:val="005C1D37"/>
    <w:rsid w:val="005C2155"/>
    <w:rsid w:val="005D1150"/>
    <w:rsid w:val="005D5F2C"/>
    <w:rsid w:val="005D717F"/>
    <w:rsid w:val="005E1B28"/>
    <w:rsid w:val="005E553D"/>
    <w:rsid w:val="005E5DD4"/>
    <w:rsid w:val="005E6BC1"/>
    <w:rsid w:val="005F1ECA"/>
    <w:rsid w:val="005F5185"/>
    <w:rsid w:val="005F6E3E"/>
    <w:rsid w:val="00600592"/>
    <w:rsid w:val="00607023"/>
    <w:rsid w:val="00614072"/>
    <w:rsid w:val="00615398"/>
    <w:rsid w:val="00615401"/>
    <w:rsid w:val="006171C1"/>
    <w:rsid w:val="00617F22"/>
    <w:rsid w:val="00620376"/>
    <w:rsid w:val="0062156D"/>
    <w:rsid w:val="0062390E"/>
    <w:rsid w:val="00623B9F"/>
    <w:rsid w:val="00626170"/>
    <w:rsid w:val="00627DA6"/>
    <w:rsid w:val="00634461"/>
    <w:rsid w:val="006378FB"/>
    <w:rsid w:val="006430AC"/>
    <w:rsid w:val="006502AE"/>
    <w:rsid w:val="00654430"/>
    <w:rsid w:val="0065578B"/>
    <w:rsid w:val="0066353A"/>
    <w:rsid w:val="00666074"/>
    <w:rsid w:val="00671E10"/>
    <w:rsid w:val="00676629"/>
    <w:rsid w:val="00684724"/>
    <w:rsid w:val="006A0CB8"/>
    <w:rsid w:val="006A4925"/>
    <w:rsid w:val="006A4A4E"/>
    <w:rsid w:val="006A4FFD"/>
    <w:rsid w:val="006A5365"/>
    <w:rsid w:val="006A575E"/>
    <w:rsid w:val="006A7D72"/>
    <w:rsid w:val="006B09E6"/>
    <w:rsid w:val="006B158A"/>
    <w:rsid w:val="006B1F3F"/>
    <w:rsid w:val="006C2929"/>
    <w:rsid w:val="006C5B52"/>
    <w:rsid w:val="006D1A31"/>
    <w:rsid w:val="006D2972"/>
    <w:rsid w:val="006D3AFB"/>
    <w:rsid w:val="006D41BC"/>
    <w:rsid w:val="006D4C68"/>
    <w:rsid w:val="006D623C"/>
    <w:rsid w:val="006E7AD3"/>
    <w:rsid w:val="006F3B99"/>
    <w:rsid w:val="006F52D2"/>
    <w:rsid w:val="006F7C24"/>
    <w:rsid w:val="00702314"/>
    <w:rsid w:val="00705C25"/>
    <w:rsid w:val="0070659F"/>
    <w:rsid w:val="00706D8A"/>
    <w:rsid w:val="00710D82"/>
    <w:rsid w:val="00715EBD"/>
    <w:rsid w:val="00720F6F"/>
    <w:rsid w:val="007224FF"/>
    <w:rsid w:val="007227AF"/>
    <w:rsid w:val="0072342B"/>
    <w:rsid w:val="00731280"/>
    <w:rsid w:val="00731A20"/>
    <w:rsid w:val="007326F0"/>
    <w:rsid w:val="00733754"/>
    <w:rsid w:val="00734AD3"/>
    <w:rsid w:val="00735C4B"/>
    <w:rsid w:val="00737179"/>
    <w:rsid w:val="00742E10"/>
    <w:rsid w:val="00742F2A"/>
    <w:rsid w:val="00742F46"/>
    <w:rsid w:val="007449AA"/>
    <w:rsid w:val="007509A1"/>
    <w:rsid w:val="007525ED"/>
    <w:rsid w:val="00752AA6"/>
    <w:rsid w:val="007538B1"/>
    <w:rsid w:val="00753D76"/>
    <w:rsid w:val="0075495C"/>
    <w:rsid w:val="0075778D"/>
    <w:rsid w:val="007840C6"/>
    <w:rsid w:val="00792C7C"/>
    <w:rsid w:val="007A099B"/>
    <w:rsid w:val="007A2FB4"/>
    <w:rsid w:val="007B02E4"/>
    <w:rsid w:val="007B1B93"/>
    <w:rsid w:val="007B1E96"/>
    <w:rsid w:val="007C160A"/>
    <w:rsid w:val="007C6150"/>
    <w:rsid w:val="007D1E6E"/>
    <w:rsid w:val="007D616C"/>
    <w:rsid w:val="007D7642"/>
    <w:rsid w:val="007E0C5F"/>
    <w:rsid w:val="007E24FD"/>
    <w:rsid w:val="007E4122"/>
    <w:rsid w:val="007E5CE3"/>
    <w:rsid w:val="007F1A3F"/>
    <w:rsid w:val="007F6832"/>
    <w:rsid w:val="007F7F02"/>
    <w:rsid w:val="008005C5"/>
    <w:rsid w:val="00804EAE"/>
    <w:rsid w:val="00821120"/>
    <w:rsid w:val="00822A48"/>
    <w:rsid w:val="008308C9"/>
    <w:rsid w:val="00830BD0"/>
    <w:rsid w:val="00830FDF"/>
    <w:rsid w:val="0083235B"/>
    <w:rsid w:val="008327BD"/>
    <w:rsid w:val="008344F7"/>
    <w:rsid w:val="00834EA9"/>
    <w:rsid w:val="00837B20"/>
    <w:rsid w:val="008447AE"/>
    <w:rsid w:val="00845142"/>
    <w:rsid w:val="00846133"/>
    <w:rsid w:val="008534D5"/>
    <w:rsid w:val="008543EE"/>
    <w:rsid w:val="0085473C"/>
    <w:rsid w:val="008560E0"/>
    <w:rsid w:val="00861FAB"/>
    <w:rsid w:val="00866AA6"/>
    <w:rsid w:val="00866C55"/>
    <w:rsid w:val="0086778E"/>
    <w:rsid w:val="008705BC"/>
    <w:rsid w:val="00872C29"/>
    <w:rsid w:val="00873867"/>
    <w:rsid w:val="008745E9"/>
    <w:rsid w:val="00887FDC"/>
    <w:rsid w:val="008962BC"/>
    <w:rsid w:val="008968FF"/>
    <w:rsid w:val="008A310C"/>
    <w:rsid w:val="008A7A97"/>
    <w:rsid w:val="008B08C0"/>
    <w:rsid w:val="008B0CBF"/>
    <w:rsid w:val="008B1FA8"/>
    <w:rsid w:val="008B2876"/>
    <w:rsid w:val="008C23AE"/>
    <w:rsid w:val="008C4395"/>
    <w:rsid w:val="008C4DE6"/>
    <w:rsid w:val="008E12E3"/>
    <w:rsid w:val="008E400F"/>
    <w:rsid w:val="008E4237"/>
    <w:rsid w:val="008E6642"/>
    <w:rsid w:val="008E772C"/>
    <w:rsid w:val="008E7B6F"/>
    <w:rsid w:val="008F1B6F"/>
    <w:rsid w:val="008F5534"/>
    <w:rsid w:val="008F7475"/>
    <w:rsid w:val="00900C50"/>
    <w:rsid w:val="009012B7"/>
    <w:rsid w:val="00902402"/>
    <w:rsid w:val="00903C61"/>
    <w:rsid w:val="00904111"/>
    <w:rsid w:val="00904CED"/>
    <w:rsid w:val="00905D38"/>
    <w:rsid w:val="009063DE"/>
    <w:rsid w:val="00906A94"/>
    <w:rsid w:val="009102B8"/>
    <w:rsid w:val="00915CE1"/>
    <w:rsid w:val="00915FF5"/>
    <w:rsid w:val="00916572"/>
    <w:rsid w:val="00917965"/>
    <w:rsid w:val="00933F9F"/>
    <w:rsid w:val="009370EE"/>
    <w:rsid w:val="0094340A"/>
    <w:rsid w:val="009600D0"/>
    <w:rsid w:val="009628C6"/>
    <w:rsid w:val="00963698"/>
    <w:rsid w:val="00964D09"/>
    <w:rsid w:val="00965171"/>
    <w:rsid w:val="009670AA"/>
    <w:rsid w:val="00971E99"/>
    <w:rsid w:val="00974272"/>
    <w:rsid w:val="00977AC4"/>
    <w:rsid w:val="0098153B"/>
    <w:rsid w:val="009865C3"/>
    <w:rsid w:val="00987974"/>
    <w:rsid w:val="00990E53"/>
    <w:rsid w:val="009926B8"/>
    <w:rsid w:val="009A00BA"/>
    <w:rsid w:val="009A1BD6"/>
    <w:rsid w:val="009A2D48"/>
    <w:rsid w:val="009A2D57"/>
    <w:rsid w:val="009B23CA"/>
    <w:rsid w:val="009B339A"/>
    <w:rsid w:val="009B6866"/>
    <w:rsid w:val="009C1F4C"/>
    <w:rsid w:val="009C71DD"/>
    <w:rsid w:val="009C725C"/>
    <w:rsid w:val="009D00F5"/>
    <w:rsid w:val="009D1C3D"/>
    <w:rsid w:val="009D6B5B"/>
    <w:rsid w:val="009D768E"/>
    <w:rsid w:val="009F02AB"/>
    <w:rsid w:val="009F11D5"/>
    <w:rsid w:val="00A00471"/>
    <w:rsid w:val="00A03686"/>
    <w:rsid w:val="00A06706"/>
    <w:rsid w:val="00A13063"/>
    <w:rsid w:val="00A1623B"/>
    <w:rsid w:val="00A1716D"/>
    <w:rsid w:val="00A209BB"/>
    <w:rsid w:val="00A213A5"/>
    <w:rsid w:val="00A24BBA"/>
    <w:rsid w:val="00A30CEA"/>
    <w:rsid w:val="00A3292C"/>
    <w:rsid w:val="00A348FD"/>
    <w:rsid w:val="00A3759F"/>
    <w:rsid w:val="00A455B5"/>
    <w:rsid w:val="00A6032E"/>
    <w:rsid w:val="00A62B46"/>
    <w:rsid w:val="00A63115"/>
    <w:rsid w:val="00A70FB8"/>
    <w:rsid w:val="00A7121B"/>
    <w:rsid w:val="00A724A1"/>
    <w:rsid w:val="00A7490C"/>
    <w:rsid w:val="00A76F85"/>
    <w:rsid w:val="00A96FE6"/>
    <w:rsid w:val="00A97515"/>
    <w:rsid w:val="00AA2A60"/>
    <w:rsid w:val="00AA3F35"/>
    <w:rsid w:val="00AA75CE"/>
    <w:rsid w:val="00AA782B"/>
    <w:rsid w:val="00AA7B6B"/>
    <w:rsid w:val="00AB0837"/>
    <w:rsid w:val="00AB6750"/>
    <w:rsid w:val="00AB7EDA"/>
    <w:rsid w:val="00AC51A0"/>
    <w:rsid w:val="00AC7333"/>
    <w:rsid w:val="00AD1289"/>
    <w:rsid w:val="00AD17CD"/>
    <w:rsid w:val="00AE22E3"/>
    <w:rsid w:val="00AE4D20"/>
    <w:rsid w:val="00AF0C6B"/>
    <w:rsid w:val="00AF3E48"/>
    <w:rsid w:val="00AF661D"/>
    <w:rsid w:val="00B0115E"/>
    <w:rsid w:val="00B021DB"/>
    <w:rsid w:val="00B02888"/>
    <w:rsid w:val="00B06C77"/>
    <w:rsid w:val="00B115BC"/>
    <w:rsid w:val="00B16287"/>
    <w:rsid w:val="00B17218"/>
    <w:rsid w:val="00B20A16"/>
    <w:rsid w:val="00B259F9"/>
    <w:rsid w:val="00B36312"/>
    <w:rsid w:val="00B36799"/>
    <w:rsid w:val="00B502A2"/>
    <w:rsid w:val="00B50E5B"/>
    <w:rsid w:val="00B516D6"/>
    <w:rsid w:val="00B52947"/>
    <w:rsid w:val="00B568A1"/>
    <w:rsid w:val="00B623AB"/>
    <w:rsid w:val="00B6628C"/>
    <w:rsid w:val="00B80942"/>
    <w:rsid w:val="00B829CD"/>
    <w:rsid w:val="00B8376D"/>
    <w:rsid w:val="00B9082F"/>
    <w:rsid w:val="00B9293E"/>
    <w:rsid w:val="00B92E1B"/>
    <w:rsid w:val="00B95613"/>
    <w:rsid w:val="00BA4863"/>
    <w:rsid w:val="00BB55EB"/>
    <w:rsid w:val="00BB7952"/>
    <w:rsid w:val="00BC0CEA"/>
    <w:rsid w:val="00BC195C"/>
    <w:rsid w:val="00BC3177"/>
    <w:rsid w:val="00BC5428"/>
    <w:rsid w:val="00BC5B4C"/>
    <w:rsid w:val="00BC77CB"/>
    <w:rsid w:val="00BD0B7C"/>
    <w:rsid w:val="00BF132A"/>
    <w:rsid w:val="00BF411A"/>
    <w:rsid w:val="00BF55D0"/>
    <w:rsid w:val="00C00533"/>
    <w:rsid w:val="00C02D52"/>
    <w:rsid w:val="00C03783"/>
    <w:rsid w:val="00C07704"/>
    <w:rsid w:val="00C07F50"/>
    <w:rsid w:val="00C101D1"/>
    <w:rsid w:val="00C138CD"/>
    <w:rsid w:val="00C14D9E"/>
    <w:rsid w:val="00C214FA"/>
    <w:rsid w:val="00C3181A"/>
    <w:rsid w:val="00C3449A"/>
    <w:rsid w:val="00C34C70"/>
    <w:rsid w:val="00C44F4F"/>
    <w:rsid w:val="00C45923"/>
    <w:rsid w:val="00C47662"/>
    <w:rsid w:val="00C4784C"/>
    <w:rsid w:val="00C5331C"/>
    <w:rsid w:val="00C62708"/>
    <w:rsid w:val="00C65CC0"/>
    <w:rsid w:val="00C73F58"/>
    <w:rsid w:val="00C759E7"/>
    <w:rsid w:val="00C85C55"/>
    <w:rsid w:val="00C87486"/>
    <w:rsid w:val="00C874A5"/>
    <w:rsid w:val="00C91B6B"/>
    <w:rsid w:val="00C97E81"/>
    <w:rsid w:val="00CA3CED"/>
    <w:rsid w:val="00CA480E"/>
    <w:rsid w:val="00CB28A6"/>
    <w:rsid w:val="00CB4926"/>
    <w:rsid w:val="00CC513A"/>
    <w:rsid w:val="00CC7DB3"/>
    <w:rsid w:val="00CD1FC8"/>
    <w:rsid w:val="00CD7BB5"/>
    <w:rsid w:val="00CE04AE"/>
    <w:rsid w:val="00CE5833"/>
    <w:rsid w:val="00CE77DB"/>
    <w:rsid w:val="00CE7F8E"/>
    <w:rsid w:val="00D0292D"/>
    <w:rsid w:val="00D14AF8"/>
    <w:rsid w:val="00D2305B"/>
    <w:rsid w:val="00D3129C"/>
    <w:rsid w:val="00D41138"/>
    <w:rsid w:val="00D43BB8"/>
    <w:rsid w:val="00D47229"/>
    <w:rsid w:val="00D50AF4"/>
    <w:rsid w:val="00D52EF9"/>
    <w:rsid w:val="00D75E1B"/>
    <w:rsid w:val="00D7742B"/>
    <w:rsid w:val="00D8031B"/>
    <w:rsid w:val="00D807DA"/>
    <w:rsid w:val="00D85C5D"/>
    <w:rsid w:val="00D865F6"/>
    <w:rsid w:val="00DA6325"/>
    <w:rsid w:val="00DA7E37"/>
    <w:rsid w:val="00DB221C"/>
    <w:rsid w:val="00DB3069"/>
    <w:rsid w:val="00DB36AC"/>
    <w:rsid w:val="00DB61B8"/>
    <w:rsid w:val="00DC6869"/>
    <w:rsid w:val="00DD474A"/>
    <w:rsid w:val="00DE0928"/>
    <w:rsid w:val="00DE09CF"/>
    <w:rsid w:val="00DE11E9"/>
    <w:rsid w:val="00DE1C64"/>
    <w:rsid w:val="00DF07CC"/>
    <w:rsid w:val="00DF3A00"/>
    <w:rsid w:val="00DF47D6"/>
    <w:rsid w:val="00DF4D31"/>
    <w:rsid w:val="00E011C6"/>
    <w:rsid w:val="00E0327A"/>
    <w:rsid w:val="00E04FEE"/>
    <w:rsid w:val="00E21DA0"/>
    <w:rsid w:val="00E243CD"/>
    <w:rsid w:val="00E264FC"/>
    <w:rsid w:val="00E3167E"/>
    <w:rsid w:val="00E37718"/>
    <w:rsid w:val="00E404C8"/>
    <w:rsid w:val="00E439E2"/>
    <w:rsid w:val="00E44AC4"/>
    <w:rsid w:val="00E46EC3"/>
    <w:rsid w:val="00E50209"/>
    <w:rsid w:val="00E52DED"/>
    <w:rsid w:val="00E5391B"/>
    <w:rsid w:val="00E54009"/>
    <w:rsid w:val="00E64E58"/>
    <w:rsid w:val="00E7135B"/>
    <w:rsid w:val="00E71534"/>
    <w:rsid w:val="00E76A43"/>
    <w:rsid w:val="00E775A6"/>
    <w:rsid w:val="00E8168D"/>
    <w:rsid w:val="00E9156F"/>
    <w:rsid w:val="00E97A71"/>
    <w:rsid w:val="00EB1284"/>
    <w:rsid w:val="00EB338E"/>
    <w:rsid w:val="00EB6A71"/>
    <w:rsid w:val="00EB6FD0"/>
    <w:rsid w:val="00ED06DC"/>
    <w:rsid w:val="00ED334A"/>
    <w:rsid w:val="00ED4FF7"/>
    <w:rsid w:val="00EE5512"/>
    <w:rsid w:val="00EF19EE"/>
    <w:rsid w:val="00F048A2"/>
    <w:rsid w:val="00F10C66"/>
    <w:rsid w:val="00F2046E"/>
    <w:rsid w:val="00F22669"/>
    <w:rsid w:val="00F25C5E"/>
    <w:rsid w:val="00F25D77"/>
    <w:rsid w:val="00F2772A"/>
    <w:rsid w:val="00F353E6"/>
    <w:rsid w:val="00F35682"/>
    <w:rsid w:val="00F3713C"/>
    <w:rsid w:val="00F409B9"/>
    <w:rsid w:val="00F45531"/>
    <w:rsid w:val="00F515B4"/>
    <w:rsid w:val="00F6256D"/>
    <w:rsid w:val="00F63780"/>
    <w:rsid w:val="00F641DF"/>
    <w:rsid w:val="00F65815"/>
    <w:rsid w:val="00F702DF"/>
    <w:rsid w:val="00F912EC"/>
    <w:rsid w:val="00F92C92"/>
    <w:rsid w:val="00F94F2F"/>
    <w:rsid w:val="00F95AA2"/>
    <w:rsid w:val="00F968BC"/>
    <w:rsid w:val="00FA2E54"/>
    <w:rsid w:val="00FA4537"/>
    <w:rsid w:val="00FB1CF1"/>
    <w:rsid w:val="00FB2BB6"/>
    <w:rsid w:val="00FB33D3"/>
    <w:rsid w:val="00FB5CDC"/>
    <w:rsid w:val="00FC1AEE"/>
    <w:rsid w:val="00FC575B"/>
    <w:rsid w:val="00FC68C4"/>
    <w:rsid w:val="00FC6955"/>
    <w:rsid w:val="00FD166B"/>
    <w:rsid w:val="00FD589B"/>
    <w:rsid w:val="00FE2F24"/>
    <w:rsid w:val="00FF2A5A"/>
    <w:rsid w:val="00FF48AF"/>
    <w:rsid w:val="00FF6B6F"/>
    <w:rsid w:val="00FF7175"/>
    <w:rsid w:val="00FF7E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character" w:customStyle="1" w:styleId="EXCar">
    <w:name w:val="EX Car"/>
    <w:link w:val="EX"/>
    <w:locked/>
    <w:rsid w:val="004C7252"/>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554278">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42670740">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853913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6</Pages>
  <Words>1672</Words>
  <Characters>9531</Characters>
  <Application>Microsoft Office Word</Application>
  <DocSecurity>0</DocSecurity>
  <Lines>79</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(LG Electronics)</cp:lastModifiedBy>
  <cp:revision>88</cp:revision>
  <cp:lastPrinted>2003-09-26T02:29:00Z</cp:lastPrinted>
  <dcterms:created xsi:type="dcterms:W3CDTF">2024-02-14T10:39:00Z</dcterms:created>
  <dcterms:modified xsi:type="dcterms:W3CDTF">2024-04-05T08:38:00Z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2024-02-14T10:41:00Z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49a59733-c3ca-4495-902e-3e434cbce0d4</vt:lpwstr>
  </property>
  <property fmtid="{D5CDD505-2E9C-101B-9397-08002B2CF9AE}" pid="8" name="MSIP_Label_dd59f345-fd0b-4b4e-aba2-7c7a20c52995_ContentBits">
    <vt:lpwstr>0</vt:lpwstr>
  </property>
</Properties>
</file>